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ATAS/771/2023 vom 10. Oktober 2023</w:t>
      </w:r>
    </w:p>
    <w:p>
      <w:r>
        <w:t>GE Cour de justice, 2023-10-10, FR</w:t>
      </w:r>
    </w:p>
    <w:p>
      <w:r>
        <w:rPr>
          <w:b/>
        </w:rPr>
        <w:t xml:space="preserve">Quelle: </w:t>
      </w:r>
      <w:r>
        <w:t>https://mcp.opencaselaw.ch/entscheid/ge_gerichte_ATAS_771_2023</w:t>
      </w:r>
    </w:p>
    <w:p>
      <w:r>
        <w:t>FR: GE_GERICHTE ATAS/771/2023 du 10 octobre 2023</w:t>
      </w:r>
    </w:p>
    <w:p>
      <w:r>
        <w:t>IT: GE_GERICHTE ATAS/771/2023 del 10 ottobre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–RS 832.20). Sa compétence pour juger du cas d’espèce est ainsi établie.</w:t>
      </w:r>
    </w:p>
    <w:p>
      <w:r>
        <w:rPr>
          <w:b/>
        </w:rPr>
        <w:t>E. 2.1</w:t>
      </w:r>
    </w:p>
    <w:p>
      <w:r>
        <w:t>À teneur de l’art. 1 al. 1 LAA, les dispositions de la LPGA s’appliquent à l’assurance-accidents, à moins que la loi n’y déroge expressément.</w:t>
      </w:r>
    </w:p>
    <w:p>
      <w:r>
        <w:t>A/2653/2022 - 11/25 -</w:t>
      </w:r>
    </w:p>
    <w:p>
      <w:r>
        <w:rPr>
          <w:b/>
        </w:rPr>
        <w:t>E. 2.2</w:t>
      </w:r>
    </w:p>
    <w:p>
      <w:r>
        <w:t>La procédure devant la chambre de céans est régie par les dispositions de la LPGA et de la loi sur la procédure administrative, du 12 septembre 1985 (LPA – E 5 10).</w:t>
      </w:r>
    </w:p>
    <w:p>
      <w:r>
        <w:rPr>
          <w:b/>
        </w:rPr>
        <w:t>E. 2.3</w:t>
      </w:r>
    </w:p>
    <w:p>
      <w:r>
        <w:t>Interjeté dans la forme et le délai prévus par la loi, compte tenu de la suspension des délais pour la période du 15 juillet au 15 août inclusivement (art. 38 al. 4 let. b LPGA et art. 89C let. b LPA), le recours est recevable.</w:t>
      </w:r>
    </w:p>
    <w:p>
      <w:r>
        <w:rPr>
          <w:b/>
        </w:rPr>
        <w:t>E. 3</w:t>
      </w:r>
    </w:p>
    <w:p>
      <w:r>
        <w:t>Le litige porte sur le droit à une rente d’invalidité et le taux d’indemnisation de l’IPAI octroyée.</w:t>
      </w:r>
    </w:p>
    <w:p>
      <w:r>
        <w:rPr>
          <w:b/>
        </w:rPr>
        <w:t>E. 4.1</w:t>
      </w:r>
    </w:p>
    <w:p>
      <w:r>
        <w:t>Aux termes de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w:t>
      </w:r>
    </w:p>
    <w:p>
      <w:r>
        <w:rPr>
          <w:b/>
        </w:rPr>
        <w:t>E. 4.2</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w:t>
      </w:r>
    </w:p>
    <w:p>
      <w:r>
        <w:rPr>
          <w:b/>
        </w:rPr>
        <w:t>E. 4.3</w:t>
      </w:r>
    </w:p>
    <w:p>
      <w:r>
        <w:t>Il découle de l’art. 19 al. 1 LAA que le droit à la rente prend naissance dès qu’il n’y a plus lieu d’attendre de la continuation du traitement médical une sensible amélioration de l’état de l’assuré et que les éventuelles mesures de réadaptation de l’assurance-invalidité ont été menées à terme. Cette disposition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w:t>
      </w:r>
    </w:p>
    <w:p>
      <w:r>
        <w:rPr>
          <w:b/>
        </w:rPr>
        <w:t>E. 4.3.1</w:t>
      </w:r>
    </w:p>
    <w:p>
      <w:r>
        <w:t>Si la décision de l’office AI concernant la réadaptation (professionnelle) n’est rendue qu’après la stabilisation de l’état de santé, cela peut donner lieu à une rente transitoire remplaçant l’indemnité journalière (art. 19 al. 3 LAA en relation avec l’art. 30 OLAA). Pour qu’une rente transitoire puisse être versée selon l’art. 19 al. 3 LAA, la décision en suspens de l’AI concernant la réadaptation professionnelle doit prévoir des mesures qui s’appliquent à une problématique de réadaptation due à un état de santé causé par un accident. Conformément à la</w:t>
      </w:r>
    </w:p>
    <w:p>
      <w:r>
        <w:t>A/2653/2022 - 12/25 - jurisprudence, la conclusion d’éventuelles mesures de réadaptation de l’AI, réservée à l’art. 19 al. 1 phrase 1 LAA, ne peut porter, dans la mesure où il s’agit de mesures professionnelles, que sur des mesures susceptibles d’influencer le degré d’invalidité sur lequel se fonde la rente d’invalidité de l’assurance-accidents (arrêt du Tribunal fédéral 8C_892/2015 du 29 avril 2016 consid. 4.1 et les arrêts cités).</w:t>
      </w:r>
    </w:p>
    <w:p>
      <w:r>
        <w:rPr>
          <w:b/>
        </w:rPr>
        <w:t>E. 4.3.2</w:t>
      </w:r>
    </w:p>
    <w:p>
      <w:r>
        <w:t>Au sens de l’art. 19 al. 1 LAA, sont considérées comme des mesures de réadaptation de l’assurance-invalidité, le reclassement (art. 17 de la loi fédérale sur l’assurance-invalidité du 19 juin 1959 ; LAI – RS 831.20) ou l’octroi d’une formation professionnelle initiale (art. 16 al. 1 LAI), mais non une aide au placement au sens de l’art. 18 LAI (arrêt du Tribunal fédéral 8C_657/2012 du 18 décembre 2012 consid. 2.2.2). En tant qu’elles ne sont pas de nature, comme telles, à influencer le degré d’invalidité, les mesures de réinsertion préparant à la réadaptation professionnelle au sens de l’art. 14a LAI ne constituent pas un motif, pour l’assureur-accidents, de différer l’examen du droit à une rente d’invalidité (arrêt du Tribunal fédéral 8C_350/2018 du 20 août 2018 consid. 7; cf. Thomas FLÜCKIGER, in FRÉSARD-FELLAY, LEUZINGER, PÄRLI [éd.], Basler Kommentar, Unfallversicherungsgesetz, 2019, n. 18 ad art. 19 LAA). Ainsi, lorsque des mesures de réadaptation de nature à influencer le degré d’invalidité ne sont en cours ni à la date retenue pour la stabilisation de l’état de santé ni à celle de la décision litigieuse, il est loisible à l’assureur-accidents de procéder à la clôture du cas (arrêt du Tribunal fédéral U_79/2007 du 21 février 2008 consid. 3.2.2).</w:t>
      </w:r>
    </w:p>
    <w:p>
      <w:r>
        <w:rPr>
          <w:b/>
        </w:rPr>
        <w:t>E. 5.1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137 V 334 consid. 3.1.1).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w:t>
      </w:r>
    </w:p>
    <w:p>
      <w:r>
        <w:rPr>
          <w:b/>
        </w:rPr>
        <w:t>E. 5.2</w:t>
      </w:r>
    </w:p>
    <w:p>
      <w:r>
        <w:t>Pour déterminer le revenu sans invalidité, il faut établir quel salaire l’assuré aurait, au degré de la vraisemblance prépondérante, réellement pu obtenir au moment déterminant s’il n’était pas devenu invalide. Le revenu sans invalidité doit être évalué de la manière la plus concrète possible. C’est pourquoi il se déduit en principe du salaire réalisé en dernier lieu par l’assuré avant l’atteinte à la santé,</w:t>
      </w:r>
    </w:p>
    <w:p>
      <w:r>
        <w:t>A/2653/2022 - 13/25 - en posant la présomption qu’il aurait continué d’exercer son activité sans la survenance de son invalidité (ATF 139 V 28 consid. 3.3.2 et les références).</w:t>
      </w:r>
    </w:p>
    <w:p>
      <w:r>
        <w:rPr>
          <w:b/>
        </w:rPr>
        <w:t>E. 5.2.1</w:t>
      </w:r>
    </w:p>
    <w:p>
      <w:r>
        <w:t>Un assuré qui a certes la qualité formelle d’employé d’une société anonyme ou d’une société à responsabilité limitée, mais qui occupe la fonction de directeur et possède la majorité des participations et qui de ce fait jour un rôle prépondérant sur la politique et la marche de l’entreprise, doit être considéré comme un indépendant aux fins de l’évaluation de l’invalidité (cf. arrêts du Tribunal fédéral 9C_453/2014 du 17 février 2014 [en matière AI] et 8C_450/2020 du 15 septembre 2020 [en matière LAA] ; Michel VALTERIO, Commentaire de la loi fédérale sur l’assurance-invalidité [LAI], 2018, p. 422, n. 47). Pour les personnes de condition indépendante, on peut se référer aux revenus figurant dans l’extrait du compte individuel de l’assurance-vieillesse et survivants. En effet, l’art. 25 al. 1 du règlement sur l’assurance-invalidité du 17 janvier 1961 (RAI – RS 831.201) établit un parallèle entre le revenu soumis à cotisation à l’AVS et le revenu à prendre en considération pour l’évaluation de l’invalidité; le parallèle n’a toutefois pas valeur absolue. Cette réglementation est applicable par analogie dans le domaine de l’assurance-accidents, dès lors que la notion d’invalidité y est la même que dans l’assurance-invalidité (cf. ATF 133 V 549 consid. 6.1 et les références). À ce sujet, on rappellera que, selon la jurisprudence, le revenu réalisé avant l’atteinte à la santé ne pourra pas être considéré comme une donnée fiable lorsque l’activité antérieure était si courte qu’elle ne saurait constituer une base suffisante pour la détermination du revenu sans invalidité. En effet, les bénéfices d’exploitation sont généralement faibles au cours des premières années d’exercice d’une activité indépendante, pour diverses raisons (taux d’amortissement élevé sur les nouveaux investissements etc.), et les personnes qui se mettent à leur propre compte ne réalisent pas, au début de leur activité, des revenus équivalents à ceux des entreprises établies depuis de nombreuses années, les entreprises nouvelles devant consentir à des sacrifices importants notamment au niveau du salaire de leurs patrons (cf. ATF 135 V 59 consid. 3.4.6 et les références). Le cas échéant, on pourra se fonder sur le revenu moyen d’entreprises similaires ou sur les statistiques de l’ESS (arrêt du Tribunal fédéral 8C_39/2022 du 13 octobre 2022 consid. 3.2 et les références).</w:t>
      </w:r>
    </w:p>
    <w:p>
      <w:r>
        <w:rPr>
          <w:b/>
        </w:rPr>
        <w:t>E. 5.2.2</w:t>
      </w:r>
    </w:p>
    <w:p>
      <w:r>
        <w:t>Dans un arrêt du 9 mai 2019, le Tribunal fédéral a considéré à propos d’un assuré, ayant fait inscrire au registre du commerce le 21 septembre 2009 une société à responsabilité limitée (dont il était l’associé gérant et détenait toutes les parts sociales) qu’une période d’environ deux ans avant l’accident, survenu le 29 août 2011, était trop brève pour déterminer le revenu sans invalidité réalisé par l’intéressé. De plus, dans la mesure où les revenus allégués différaient de manière importante des inscriptions portées au compte individuel tenu par la caisse de compensation, il n’était pas possible de déterminer de manière suffisamment fiable le revenu provenant de l’activité indépendante, de sorte que l’assureur était en droit de se fonder sur les revenus statistiques de l’ESS, pour autant que les</w:t>
      </w:r>
    </w:p>
    <w:p>
      <w:r>
        <w:t>A/2653/2022 - 14/25 - facteurs personnels et professionnels pertinents pour la rémunération dans le cas particulier fussent pris en compte. Aussi le Tribunal fédéral a-t-il considéré, dans le cas de cet associé-gérant, qui exerçait, avant son accident, l’activité de constructeur de fenêtres sans être au bénéfice d’aucune formation – et qui était assisté par sa fille pour les tâches administratives et une société fiduciaire pour la comptabilité –, que l’expérience qu’il avait acquise en tant qu’indépendant se limitait à sa propre (petite) entreprise, l’accent étant mis sur l’activité artisanale de constructeur de fenêtres. Au vu de ces circonstances et de son parcours professionnel, l’instance inférieure et l’assureur pouvaient se baser sur le salaire résultant du tableau TA1 de l’ESS, pour une activité de niveau de compétence 1, exercée par un homme dans la branche de la construction (arrêt du Tribunal fédéral 8C_53/2019 du 9 mai 2019 consid. 6.2.2 ss).</w:t>
      </w:r>
    </w:p>
    <w:p>
      <w:r>
        <w:rPr>
          <w:b/>
        </w:rPr>
        <w:t>E. 5.3.1</w:t>
      </w:r>
    </w:p>
    <w:p>
      <w:r>
        <w:t>Le revenu d’invalide doit en principe être évalué en fonction de la situation professionnelle concrète de l’assuré. Le salaire effectivement réalisé ne peut cependant être pris en compte pour fixer le revenu d’invalide que si trois conditions cumulatives sont remplies: l’activité exercée après la survenance de l’atteinte à la santé doit reposer sur des rapports de travail particulièrement stables; cette activité doit en outre permettre la pleine mise en valeur de la capacité résiduelle de travail exigible; le gain obtenu doit enfin correspondre au travail effectivement fourni et ne pas contenir d’éléments de salaire social (cf. ATF 139 V 592 consid. 2.3; 135 V 297 consid. 5.2; 129 V 472 consid. 4.2.1 ; arrêt du Tribunal fédéral 8C_667/2017 du 19 juin 2018 consid. 3.2).</w:t>
      </w:r>
    </w:p>
    <w:p>
      <w:r>
        <w:rPr>
          <w:b/>
        </w:rPr>
        <w:t>E. 5.3.2</w:t>
      </w:r>
    </w:p>
    <w:p>
      <w:r>
        <w:t>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de l’Enquête suisse sur la structure des salaires (ESS) TA1, à la ligne « total secteur privé » (ATF 124 V 321 consid. 3b/aa). On se réfère alors à la statistique des salaires bruts standardisés, en se fondant toujours sur la médiane ou valeur centrale (ATF 124 V 321 consid. 3b/bb).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w:t>
      </w:r>
    </w:p>
    <w:p>
      <w:r>
        <w:t>A/2653/2022 - 15/25 - 9C_603/2015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w:t>
      </w:r>
    </w:p>
    <w:p>
      <w:r>
        <w:rPr>
          <w:b/>
        </w:rPr>
        <w:t>E. 5.3.3</w:t>
      </w:r>
    </w:p>
    <w:p>
      <w:r>
        <w:t>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w:t>
      </w:r>
    </w:p>
    <w:p>
      <w:r>
        <w:t>A/2653/2022 - 16/25 -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w:t>
      </w:r>
    </w:p>
    <w:p>
      <w:r>
        <w:t>A/2653/2022 - 17/25 - l’empire de l’art. 4 aCst. étant toujours valable (ATF 124 V 90 consid. 4b; ATF 122 V 157 consid. 1d).</w:t>
      </w:r>
    </w:p>
    <w:p>
      <w:r>
        <w:rPr>
          <w:b/>
        </w:rPr>
        <w:t>E. 8.1</w:t>
      </w:r>
    </w:p>
    <w:p>
      <w:r>
        <w:t>En l’espèce, il est constant que l’assuré a été victime de deux accidents, tous deux assurés par l’intimée, ayant entraîné des lésions au genou droit le 7 octobre 2015, respectivement le 29 mai 2020, et qu’après avoir été prises en charge jusqu’au 30 septembre 2020 comme suites de l’événement du 29 mai 2020, ces lésions ont continué à ouvrir droit à des prestations provisoires (indemnité journalière et paiement des soins) au titre des suites de l’accident du 7 octobre 2015 (art. 11 OLAA), ce jusqu’au 30 septembre 2021. À l’appui de cette solution, la décision litigieuse se fonde sur les conclusions du Dr M______, prises à l’issue de l’examen du 6 mai 2021, aux termes desquelles le status post ligamentoplastie du LCA (laxité résiduelle sur un positionnement imparfait de la plastie du LCA), doublé d’une « avulsion des 2/3 du ménisque interne après échec de suture », ne permet plus au recourant d’exercer ses professions antérieures de ferrailleur et, plus récemment, de carreleur, mais ne l’empêche pas, deux mois après l’examen du 6 mai 2021, date retenue pour la stabilisation du cas, d’exercer une activité à plein temps, du moment que celle-ci exclut : - les longs déplacements, particulièrement en terrain irrégulier ; - le travail accroupi ou à genoux répétitif ou prolongé ; - la montée et descente répétitive d’escaliers et/ou d’échelles et en particulier tout travail sur un toit par exemple ; - le port de charges lourdes supérieures à 15kg ou de plus de 10kg de manière répétitive. Le recourant sollicite préalablement la mise en œuvre d’une voire de plusieurs expertises pour examiner son état actuel de santé et sa capacité à exercer une activité professionnelle. On rappellera en premier lieu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Partant, en tant qu’elles visent à effectuer des investigations sur l’état de santé « actuel » du recourant, les mesures d’instruction ne sont pas pertinentes pour l’issue du litige, ce d’autant moins que le recourant ne remet en cause ni sa pleine capacité de travail dans une activité adaptée, telle qu’elle résulte des conclusions claires et cohérentes du Dr M______, ni les limitations fonctionnelles retenues par ce médecin, qui reprennent celles déjà constatées par les médecins de la CRR dans leur rapport du 21 mars 2021, ni la stabilisation de son état de santé courant juillet 2021. Ces conclusions ne</w:t>
      </w:r>
    </w:p>
    <w:p>
      <w:r>
        <w:t>A/2653/2022 - 18/25 - sauraient être remises en cause par l’arrêt de travail du 5 novembre au 5 décembre 2021, délivré le 22 novembre 2021 par le Dr P______. En effet, le certificat correspondant n’est pas motivé et le jour de l’établissement de celui-ci, l’assuré a annoncé par téléphone à l’intimée qu’il se chargeait de la formation et s’occupait des rendez-vous de chantier auprès de son ex-entreprise. Enfin, quand bien même le certificat du Dr P______ se référerait à cette activité et non à celle de carreleur stricto sensu, ce document n’en reste pas moins muet sur la capacité de travail exigible dans une activité adaptée. Aussi, en l’absence d’argument pertinent et de production d’un avis médical s’écartant de manière motivée des conclusions du médecin d’arrondissement de l’intimée, la chambre de céans s’en tiendra à ces dernières par appréciation anticipée des preuves (cf. ci-dessus : consid. 7.2), et considérera qu’il est établi, au degré de la vraisemblance prépondérante, que le recourant présente une totale incapacité de travail dans son activité antérieure de carreleur, et qu’au moment où l’intimée a mis fin aux paiement de l’indemnité journalière et des soins, soit au 30 septembre 2021, son état de santé était stabilisé et l’exercice d’une activité adaptée aux limitations fonctionnelles décrites exigible à plein temps.</w:t>
      </w:r>
    </w:p>
    <w:p>
      <w:r>
        <w:rPr>
          <w:b/>
        </w:rPr>
        <w:t>E. 8.2</w:t>
      </w:r>
    </w:p>
    <w:p>
      <w:r>
        <w:t>Dans la mesure où la possibilité pour l’assureur-accidents de clore le cas dépend aussi de l’absence de mesures de réadaptation professionnelle en cours au moment de la stabilisation de l’état de santé (ci-dessus : consid. 4.3.1 et s.), on relèvera que de telles mesures n’ont pas été mises en œuvre à ce moment et qu’elles n’étaient pas non plus à l’ordre du jour par la suite. En effet, l’OAI a octroyé le 27 mai 2021, dans le cadre des mesures d’intervention précoces (art. 7d LAI), un simple cours de français du 1er juin au 30 septembre 2021. En outre, dans le cadre de ses échanges avec l’intimée, l’OAI lui a fait savoir en substance, par courriels des 17 mai 31 mai 2021, qu’il ne disposait pas des éléments pour pouvoir se prononcer sur un droit aux mesures d’ordre professionnel puisque celui-ci nécessitait préalablement qu’il soit procédé à une comparaison des revenus. Or, cette comparaison n’était pas possible, vu la discordance entre les salaires déclarés et ceux portés au compte individuel AVS, d’où la nécessité d’une enquête économique préalable – qui n’était pas non plus réalisable avant d’avoir statué sur la capacité de travail dans l’activité habituelle et dans une activité adaptée (cf. dossier intimée, doc. 264- 266 et 271). On relèvera à cet égard qu’en date des 28 septembre 2021 et 4 août 2022 (soit après la décision litigieuse pour cette dernière date), l’OAI a précisément demandé à l’intimée de lui transmettre les pièces du dossier postérieures au 12 mai 2021, respectivement postérieures au 2 décembre 2021, avec le détail précis des incapacités de travail répertoriées (cf. dossier intimée, doc. 287 et 318). Dans ces circonstances, l’intimée était fondée à examiner le droit éventuel du recourant à une rente (non transitoire) avec effet au 1er octobre 2021, sans attendre que l’OAI se détermine sur l’octroi de mesures d’ordre professionnel.</w:t>
      </w:r>
    </w:p>
    <w:p>
      <w:r>
        <w:t>A/2653/2022 - 19/25 -</w:t>
      </w:r>
    </w:p>
    <w:p>
      <w:r>
        <w:rPr>
          <w:b/>
        </w:rPr>
        <w:t>E. 8.3</w:t>
      </w:r>
    </w:p>
    <w:p>
      <w:r>
        <w:t>Pour la détermination du degré d’invalidité du recourant, il convient par conséquent de procéder à la comparaison des revenus en 2021, année de la stabilisation de l’état de santé et donc de l’ouverture éventuelle du droit à une rente d’invalidité. On précisera également que les variations enregistrées par les revenus à comparer doivent être prises en compte jusqu’à la date de la décision sur opposition (cf. ATF 143 V 295 consid. 4.1.3), en l’occurrence le 22 juin 2022.</w:t>
      </w:r>
    </w:p>
    <w:p>
      <w:r>
        <w:rPr>
          <w:b/>
        </w:rPr>
        <w:t>E. 8.3.1</w:t>
      </w:r>
    </w:p>
    <w:p>
      <w:r>
        <w:t>Dans un premier moyen, le recourant soutient que l’intimée n’aurait pas dû déterminer son revenu sans invalidité au moyen des statistiques de l’ESS mais se fonder sur le salaire de « CHF 100’100.- » qu’il réalisait en qualité d’associé- gérant d’I______. La chambre de céans constate tout d’abord que les inscriptions portées au compte individuel du recourant font état, pour leur part, d’un revenu de CHF 54’901.- d’avril à décembre 2019 (dossier intimée, doc. 188, p. 2) et de CHF 41’707.- de janvier à mai 2020 (dossier intimée, doc. 267). Comme l’intimée et l’OAI l’ont observé tous deux dans leurs échanges, il existe ainsi, à tout le moins pour l’année 2019, une discordance entre le revenu déclaré et celui – moins élevé – sur lequel les charges sociales ont été effectivement prélevées (cf. dossier intimée, doc. 266). En outre, le recourant n’exerçait son activité de carreleur indépendant que depuis moins de quatorze mois au moment de la survenance de l’accident du 29 mai 2020. Au vu de ces circonstances et de la jurisprudence précitée (ci-dessus : consid. 5.2.2), on ne saurait déterminer de manière suffisamment fiable le revenu sans invalidité provenant de l’activité indépendante du recourant, de sorte que l’intimée était en droit de se fonder sur les revenus statistiques de l’ESS (cf. ci- après : consid. 8.3.2).</w:t>
      </w:r>
    </w:p>
    <w:p>
      <w:r>
        <w:rPr>
          <w:b/>
        </w:rPr>
        <w:t>E. 8.3.2</w:t>
      </w:r>
    </w:p>
    <w:p>
      <w:r>
        <w:t>En l’absence de document plus récent à la date de la décision litigieuse, l’intimée s’est référée à juste titre aux données de l’ESS 2018 pour déterminer le revenu sans invalidité, plus précisément au tableau TA1, tirage « skill level ». Il en ressort que dans la construction (ligne 41-43), le revenu moyen pour un homme s’élevait à CHF 5’962.- mensuels (soit CHF 71’544.- par an) dans une activité de niveau de compétences 2, laquelle correspond à des « tâches pratiques telles que la vente/ les soins/ le traitement de données et les tâches administratives et/ou l’utilisation de machines » (cf. les mentions figurant au bas du tableau précité). Quoi qu’en dise le recourant, on ne saurait appliquer à sa situation le niveau de compétences 3 (« tâches pratiques complexes nécessitant un vaste ensemble de connaissances dans un domaine spécialisé »), son bref parcours d’entrepreneur et de carreleur sans formation ni diplôme ne le permettant pas, pas plus que les progrès réalisés en français à la faveur d’un cours de langue pris en charge par l’AI. Après adaptation à la durée de travail hebdomadaire usuelle dans la branche de la construction (41.3h), le revenu sans invalidité se montait à CHF 73’869.18 (soit 71’544.- x 41.3 / 40 = CHF 73’869.18) et, une fois indexé à l’indice suisse des salaires nominaux dans le secteur de la construction (ISS ; tableau T1.1.10), à CHF 74’607.87 en 2019 (+1.0%) et CHF 75’204.73 en 2020 (+0.8%) comme</w:t>
      </w:r>
    </w:p>
    <w:p>
      <w:r>
        <w:t>A/2653/2022 - 20/25 - en 2021 (+0.0%). Ainsi, l’évaluation du revenu sans invalidité du recourant à CHF 75’204.73 ne prête pas le flanc à la critique.</w:t>
      </w:r>
    </w:p>
    <w:p>
      <w:r>
        <w:rPr>
          <w:b/>
        </w:rPr>
        <w:t>E. 8.4</w:t>
      </w:r>
    </w:p>
    <w:p>
      <w:r>
        <w:t>S’agissant du revenu d’invalide, l’intimée l’a également déterminé sur la base de l’ESS et non pas du revenu effectivement réalisé après l’atteinte à la santé, motif pris que l’assuré avait vendu la société I______ en juillet 2021 et que l’activité salariée subséquente, commencée en octobre 2021 en qualité de chef d’équipe au service de son ex-entreprise, laissait planer une incertitude sur son caractère adapté (travail en terrain irrégulier) et la nature particulièrement stable des rapports de travail récemment noués, elle-même mise en doute par l’intéressé lors de son entretien téléphonique du 22 novembre 2021 avec l’intimée. N’étant pas contestée et n’apparaissant pas contestable, cette appréciation peut être suivie. Il en va de même du choix de prendre pour base le tableau TA1, tirage « skill level » de l’ESS 2018, plus précisément la ligne « total », pour un homme, et le niveau de compétences 1, ce qui correspond à CHF 5’417.- (soit CHF 65’004.- par an) pour 40 heures de travail, respectivement CHF 67’766.67 en tenant compte de la durée normale de travail dans les entreprises (41.7h) puis, après indexation à l’ISS (tableau T39), CHF 68’376.57 en 2019 (+0.9%), CHF 68’923.58 en 2020 (+0.8%) et CHF 68’441.12 en 2021 (-0.7%). Correctement apprécié par l’intimée, ce montant peut être repris.</w:t>
      </w:r>
    </w:p>
    <w:p>
      <w:r>
        <w:rPr>
          <w:b/>
        </w:rPr>
        <w:t>E. 9</w:t>
      </w:r>
    </w:p>
    <w:p>
      <w:r>
        <w:t>Reste à déterminer s’il y a lieu d’opérer une réduction sur le revenu d’invalide. Le recourant soutient que ses limitations fonctionnelles, sa nationalité kosovare, sa situation personnelle (enfants en bas âge à charge) et son absence d’autorisation de séjour justifieraient un abattement de 10%. Pour sa part, l’intimée est d’avis que les éléments invoqués par le recourant ne seraient pas pertinents et que ses limitations fonctionnelles ne justifieraient pas de déduction sur le revenu d’invalide dans la mesure où les activités du niveau de compétences 1 de l’ESS comprendraient déjà un grand nombre d’activités légères adaptées aux limitations retenues, sans que celles-ci n’aient pour conséquence un désavantage salarial. La chambre de céans constate que le recourant ne peut plus exercer son activité habituelle de carreleur et que cette circonstance s’accompagne, au moment de la naissance du droit (éventuel) à une rente d’invalidité en 2021, de l’absence d’années de service dans une activité adaptée à ses limitations fonctionnelles. Cependant, le critère des années de service ne saurait conduire à lui seul à un abattement, dans la mesure où il revêt peu d’importance pour l’accomplissement d’activités simples et répétitives (niveau 1) dans le secteur privé (cf. arrêt du Tribunal fédéral 9C_611/2013 du 11 février 2014 consid. 3.2.2). La même remarque vaut également pour son niveau de formation (arrêt du Tribunal fédéral 8C_427/2011 du 15 septembre 2011 consid. 5.2) et de maîtrise de la langue écrite (cf. arrêt du Tribunal fédéral 8C_17/2011 du 21 avril 2011 consid. 6.2). Se pose</w:t>
      </w:r>
    </w:p>
    <w:p>
      <w:r>
        <w:t>A/2653/2022 - 21/25 - en revanche la question de savoir si les facteurs énumérés ci-dessus, conjugués aux limitations fonctionnelles et à la nationalité, respectivement au type de permis sont de nature à justifier un abattement. À cet égard, il convient en particulier de relever que dans un cas concernant un maçon, victime d’un accident ayant entraîné des lésions méniscales – ravivées et aggravées par une rechute – et des limitations fonctionnelles similaires à celles du recourant (pas de port de charges lourdes, de marche en terrain irrégulier, de montées et de descentes d’échelles ou de positions contraignantes pour le genou), le Tribunal fédéral a confirmé l’appréciation de la SUVA quant au bien-fondé d’un abattement de 5% sur le revenu d’invalide, étant précisé que le seul facteur pertinent retenu était celui lié aux limitations fonctionnelles évoquées (arrêt du Tribunal fédéral 8C_222/2017 du 17 mai 2018). En ce qui concerne le permis de travail (soit son absence dans le cas particulier), il ressort du tableau TA12 « Salaire mensuel brut (valeur centrale et intervalle interquartile), Suisses/Suissesses et étrangers/étrangères, selon la position professionnelle et le sexe » de l’ESS que si le salaire médian pour l’ensemble des salariés de sexe masculin (en équivalent plein temps, Suisses et étrangers confondus), sans fonction de cadre, s’élevait à CHF 5’941.- en 2018, ceux d’entre eux qui n’étaient ni Suisses, ni titulaires d’un permis (de type L, B, C ou G) mais recensés dans la catégorie « Autres » pouvaient compter sur un revenu médian de CHF 4’486.-, ce qui représente, selon cette statistique, un salaire réduit de 24.5%. Ce dernier élément est donc également susceptible de fonder un abattement (pour quelques cas d’application sur l’incidence du type de permis : cf. arrêt du Tribunal fédéral 8C_115/2021 du 10 août 2021 consid. 4.2.4 et les arrêts cités). En pondérant l’ensemble des facteurs de réduction passés en revue, il se justifie d’opérer un abattement de 10% sur le revenu d’invalide de CHF 68’441.12 et, partant, de se fonder sur un revenu de CHF 61’597.- (soit CHF 68’441.12 sous déduction de 10% de ce montant). Compte tenu de ce qui précède, la perte de gain s’établit à CHF 13’607.73 (soit CHF 75’204.73 moins CHF 61’597.-), ce qui représente une diminution de 18% du revenu sans invalidité ([75’204.73 – 61’597.00] x 100 / 75’204.73 = 18.09%, arrondi au pourcent inférieur ; ATF 130 V 121 consid. 3.2). En conséquence, c’est un degré d’invalidité de 18% que l’intimée aurait dû prendre en considération, ce qui ouvre le droit au versement d’une rente d’invalidité à ce même taux.</w:t>
      </w:r>
    </w:p>
    <w:p>
      <w:r>
        <w:rPr>
          <w:b/>
        </w:rPr>
        <w:t>E. 10</w:t>
      </w:r>
    </w:p>
    <w:p>
      <w:r>
        <w:t>Il convient à présent d’examiner si l’intimée a correctement fixé à 10% le taux de l’IPAI.</w:t>
      </w:r>
    </w:p>
    <w:p>
      <w:r>
        <w:rPr>
          <w:b/>
        </w:rPr>
        <w:t>E. 10.1</w:t>
      </w:r>
    </w:p>
    <w:p>
      <w:r>
        <w:t>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elle est réputée importante lorsque</w:t>
      </w:r>
    </w:p>
    <w:p>
      <w:r>
        <w:t>A/2653/2022 - 22/25 - l’intégrité physique, mentale ou psychique subit, indépendamment de la diminution de la capacité de gain, une altération évidente ou grave (art. 36 al. 1 OLAA).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Selon l’art. 36 al. 4 OLAA, il sera équitablement tenu compte des aggravations prévisibles de l’atteinte à l’intégrité. Une révision n’est possible qu’en cas exceptionnel, si l’aggravation est importante et n’était pas prévisible.</w:t>
      </w:r>
    </w:p>
    <w:p>
      <w:r>
        <w:rPr>
          <w:b/>
        </w:rPr>
        <w:t>E. 10.2</w:t>
      </w:r>
    </w:p>
    <w:p>
      <w:r>
        <w:t>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(cf. Jean-Maurice FRÉSARD, Margit MOSER-SZELESS, L’assurance-accidents obligatoire in: Schweizerisches Bundesverwaltungsrecht (SBVR), 3ème éd. 2016, n. 311).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113 V 218 consid. 4b; RAMA 2004 n° U 514 p. 415, U 134/03, consid. 5.2; RAMA 2000 n° U 362 p. 41).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(SVR 2009 UV n° 27 p. 97, 8C_459/2008, consid. 2.3; cf. aussi Thomas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op. cit. n. 317).</w:t>
      </w:r>
    </w:p>
    <w:p>
      <w:r>
        <w:t>A/2653/2022 - 23/25 - L’annexe 3 de l’OLAA comporte un barème – reconnu conforme à la loi et non exhaustif (ATF 124 V 29 consid. 1b ; ATF 124 V 209 consid. 4a/bb ; ATF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116 V 156 consid. 3a p. 157; RAMA 1998 n° U 296 p. 235, U 245/96, consid. 2a).</w:t>
      </w:r>
    </w:p>
    <w:p>
      <w:r>
        <w:rPr>
          <w:b/>
        </w:rPr>
        <w:t>E. 10.3</w:t>
      </w:r>
    </w:p>
    <w:p>
      <w:r>
        <w:t>Il ressort de la table 5 de la SUVA, traitant de l’atteinte à l’intégrité résultant d’arthroses, qu’une IPAI de 5 à 15% est prévue en cas d’arthrose fémoro-tibiale « moyenne ». En présence d’une arthrose « grave » du même type, l’IPAI prévue est comprise entre 15 et 30%. Se référant à ladite table (en particulier à l’arthrose fémoro-tibiale) pour son évaluation, le Dr M______ explique en synthèse que le genou droit présente un remaniement post-meniscectomie avec une arthrose pour le moment modérée mais qui va évoluer vers une arthrose « moyenne moyenne » (sic), d’où le choix d’une IPAI de 10% conformément au barème prévu. Le recourant soutient que c’est un taux de 15% qui aurait dû être retenu dans la mesure où son atteinte à la santé entraîne une incapacité de travail totale dans le domaine de la construction du fait des limitations fonctionnelles qui découlent de l’atteinte à son genou droit. La chambre de céans constate que le moyen tiré de l’absence de capacité de travail résiduelle dans l’activité antérieure est dépourvu de pertinence dans le cadre d’une évaluation de l’atteinte en fonction de l’évolution future de l’arthrose et de son ampleur. En outre, le recourant ne produit aucun rapport médical qui remettrait en cause les conclusions cohérentes et motivées du Dr M______ retenant un taux d’IPAI de 10%. Il convient par conséquent de s’en tenir à ce taux.</w:t>
      </w:r>
    </w:p>
    <w:p>
      <w:r>
        <w:rPr>
          <w:b/>
        </w:rPr>
        <w:t>E. 11</w:t>
      </w:r>
    </w:p>
    <w:p>
      <w:r>
        <w:t>Compte tenu de ce qui précède, le recours est partiellement admis et la décision litigieuse réformée en ce sens que le recourant a droit à une rente d’invalidité de 18% à compter du 1er octobre 2021.</w:t>
      </w:r>
    </w:p>
    <w:p>
      <w:r>
        <w:t>A/2653/2022 - 24/25 -</w:t>
      </w:r>
    </w:p>
    <w:p>
      <w:r>
        <w:rPr>
          <w:b/>
        </w:rPr>
        <w:t>E. 12</w:t>
      </w:r>
    </w:p>
    <w:p>
      <w:r>
        <w:t>Étant donné que le recourant obtient partiellement gain de cause, une indemnité de CHF 1’500.- lui sera accordée à titre de participation à ses frais et dépens, à charge de l’intimée (art. 61 let. g LPA ; art. 89H al. 3 LPA ; art. 6 du règlement sur les frais, émoluments et indemnités en procédure administrative du 30 juillet 1986 – RFPA ; RS E 5.10.03). Pour le surplus, la procédure est gratuite (art. 61 let. fbis LPGA a contrario).</w:t>
      </w:r>
    </w:p>
    <w:p>
      <w:r>
        <w:t>*****</w:t>
      </w:r>
    </w:p>
    <w:p>
      <w:r>
        <w:t>A/2653/2022 - 25/25 -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