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ATAS/771/2021 vom 21. Juli 2021</w:t>
      </w:r>
    </w:p>
    <w:p>
      <w:r>
        <w:t>GE Cour de justice, 2021-07-21, FR</w:t>
      </w:r>
    </w:p>
    <w:p>
      <w:r>
        <w:rPr>
          <w:b/>
        </w:rPr>
        <w:t xml:space="preserve">Quelle: </w:t>
      </w:r>
      <w:r>
        <w:t>https://mcp.opencaselaw.ch/entscheid/ge_gerichte_ATAS_771_2021</w:t>
      </w:r>
    </w:p>
    <w:p>
      <w:r>
        <w:t>FR: GE_GERICHTE ATAS/771/2021 du 21 juillet 2021</w:t>
      </w:r>
    </w:p>
    <w:p>
      <w:r>
        <w:t>IT: GE_GERICHTE ATAS/771/2021 del 21 luglio 2021</w:t>
      </w:r>
    </w:p>
    <w:p>
      <w:pPr>
        <w:pStyle w:val="Heading2"/>
      </w:pPr>
      <w:r>
        <w:t>Erwägungen</w:t>
      </w:r>
    </w:p>
    <w:p>
      <w:r>
        <w:rPr>
          <w:b/>
        </w:rPr>
        <w:t>E. 14</w:t>
      </w:r>
    </w:p>
    <w:p>
      <w:r>
        <w:t>janvier 2021, le dossier des HUG et le dossier mis à disposition par la chambre de céans. Le rapport contient une anamnèse personnelle et professionnelle, la description d’une journée-type de l’assuré, un rappel des antécédents médicaux psychiatriques de celui-ci, ses plaintes et un status psychiatrique détaillé. L’expert a posé les diagnostics de trouble du spectre de l’autisme (syndrome d’Asperger) (ci- après TSA) et de troubles de l’usage du cannabis, en rémission. S’agissant de la sévérité des symptômes, il a retenu le degré le moins élevé de la classification pour les TSA, soit le niveau 1, qui correspond à la catégorie nécessitant de l’aide. L’atteinte dans les symptômes du groupe A (communication sociale) paraissait un peu plus marquée que celle des symptômes du groupe B (comportements restreints et répétitifs) chez l’expertisé, du moins à l’âge adulte. De manière générale, on admettait que le syndrome d’Asperger se caractérisait par des difficultés dans les interactions sociales et la communication et par la restriction des activités. Les personnes atteintes de ce syndrome pouvaient réussir leur scolarité, voire des études supérieures, aussi longtemps que leurs compétences sociales étaient peu sollicitées. Quand l’environnement social se complexifiait, elles ne parvenaient plus à compenser leurs difficultés et cela se manifestait par de l’anxiété et/ou de la dépression. C’était ce qui s’était produit pour l’expertisé, au fur et à mesure de sa progression dans le monde du travail, surtout à partir du moment où il s’était mis à son compte. Dans le monde du travail, les personnes souffrant d’un syndrome d’Asperger présentaient les faiblesses suivantes : - une naïveté sociale qui les mettait à risque d’être manipulé, moqué, calomnié et de servir de bouc émissaire et de souffre-douleur ; - un refus de se mettre en avant et d’entrer en compétition avec les collègues ; - une intolérance aux changements et aux imprévus; une tâche nouvelle et inattendue provoquait une anxiété importante. Ces faiblesses nécessitaient de prendre des précautions quant au choix de la profession et à l’adéquation des postes de travail. Les entretiens d’embauche pouvaient également être compliqués pour ces personnes, car elles avaient du mal à</w:t>
      </w:r>
    </w:p>
    <w:p>
      <w:r>
        <w:t>A/4279/2019 - 6/16 - mettre en avant leurs compétences et pouvaient se comporter de manière déconcertante. Elles avaient également de nombreuses qualités qui pouvaient être très précieuses pour un employeur. Elles étaient en effet habituellement perfectionnistes, ponctuelles et honnêtes. Elles pouvaient posséder un bon raisonnement logique et une pensée créative. En l’espèce, les atteintes diagnostiquées limitaient la gestion du quotidien de l’expertisé avec des difficultés pour les interactions sociales et dans la communication, une sensibilité exagérée aux stimuli sensoriels, notamment au bruit et au toucher, une tendance aux tâches répétitives et des difficultés pour ranger ou jeter des objets. Sur le plan psychiatrique, il n’y avait pas d’argument en faveur d’une exagération des symptômes ou de constellation semblable. Il y avait une bonne concordance entre les plaintes de l’expertisé, et ce que l’expert connaissait de son environnement psychosocial, et les symptômes typiques rencontrés en cas de TSA de type Asperger. S’agissant des limitations fonctionnelles, l’expertisé pouvait s’adapter à des règles et routines impliquant peu de contacts sociaux. Il était apte à planifier des tâches et à les structurer dans son domaine de compétence. Sa capacité de flexibilité et d’adaptation était perturbée. Il avait besoin de se préparer et de pouvoir anticiper pour s’adapter, surtout si la situation impliquait des contacts sociaux. Autrement, il se retrouvait rapidement débordé sur les plans cognitifs et sensoriels. Il pouvait utiliser ses compétences spécifiques dans le domaine de l’informatique. Il était capable de jugements et de prendre des décisions pour autant qu’il ne soit pas débordé par des stimuli trop nombreux. Sa capacité d’endurance était limitée. Il avait besoin de temps de récupération importants après une tâche, surtout si celle-ci impliquait des contacts sociaux ou la nécessité de communiquer. Son aptitude à s’affirmer était très limitée en raison de ses troubles de la communication et de la socialisation typiques des TSA. Son aptitude à établir des relations avec les autres était également limitée par les traits autistiques ainsi que son aptitude à évoluer au sein d’un groupe et à entretenir des relations proches. Son aptitude à des activités spontanées était globalement conservée dans le cadre de son mode de vie habituel. S’agissant de l’hygiène et des soins corporels, ils étaient modérément perturbés par l’hypersensibilité au toucher (difficultés pour se raser par exemple). L’aptitude à se déplacer ne posait pas de problème, à pied ou en voiture. Dans l’activité habituelle, les limitations étaient en lien avec le TSA. L’expertisé n’avait plus d’activité professionnelle depuis plusieurs années. Il n’avait que très peu travaillé dans un poste correspondant à sa formation d’ingénieur en génie civil. Ses limitations étaient les mêmes dans une activité adaptée. Aucune autre activité adaptée n’était envisagée. L’assuré n’avait pas fait preuve de résistance à l’égard des traitements proposés. Le traitement était essentiellement psychothérapeutique et avait été mis à profit. On pouvait estimer que la capacité de travail résiduelle dans le domaine du support informatique était de 25%, sans tenir compte des limitations spécifiquement liées à d’éventuels diagnostics somatiques additionnels (syndrome d’Ehlers-Danlos à confirmer). Une activité dans le domaine de l’informatique avec un nombre restreint de contacts sociaux constituerait une activité adaptée. On</w:t>
      </w:r>
    </w:p>
    <w:p>
      <w:r>
        <w:t>A/4279/2019 - 7/16 - pouvait raisonnablement estimer, sur la base de l’évaluation faite, des documents à disposition et du parcours socio-professionnel de l’assuré que l’incapacité de travail durable remontait à septembre 2015, lorsque l’AVC était venu compliquer temporairement la situation. L’incapacité avait été totale jusqu’au 1er mars 2017, puis de 75%, sans tenir compte des limitations somatiques (douleurs). On pouvait s’attendre à une diminution de rendement de l’ordre de 30% qui n’était pas incluse dans la réduction de la capacité de travail. Les limitations de l’assuré touchaient les différents domaines de sa vie. Son niveau d’activité sociale était bas et avait toujours été diminué à cause de son atteinte à la santé. L’expert a encore commenté les différentes appréciations médicales au dossier. Il a encore relevé que l’expertisé disposait d’un bon niveau d’intelligence malgré une baisse subjective de ses performances décrites depuis l’AVC de 2015. Il était créatif comme en attestent ses activités artistiques. Il pouvait toujours compter sur le soutien de ses parents, mais pas sur d’autres personnes. L’expert n’avait pas décelé d’incohérences dans le comportement de l’expertisé. g. Le 13 novembre 2021, l’intimé a considéré, sur la base d’un avis SMR du 12 avril 2021, que les éléments retenus par l’expert psychiatre ne permettaient pas de conclure à une capacité de travail aussi restreinte et que la mise en valeur par le recourant d’une capacité de travail d’au moins 50% était objectivement exigible. Ainsi, le rapport d’expertise judiciaire ne constituait pas un moyen de preuve adéquat pour établir la capacité de travail du recourant. Dans son avis du 12 avril 2021, le SMR retenait que l’expert avait retenu à juste titre le diagnostic de TSA et que le recourant ne présentait pas de limitations fonctionnelles en relation avec la dépendance au cannabis, ni de séquelles cognitives ou psychiatriques de l’AVC de 2015. Il ne comprenait pas pourquoi l’expert retenait une capacité de travail nettement diminuée dans l’activité habituelle ainsi que dans une activité adaptée. En effet, l’expert décrivait lui-même que d’autres capacités pouvaient être mises en avant par les assurés souffrant du même diagnostic que le recourant. L’évaluation des indicateurs standards permettait de retenir que l’atteinte à la santé était d’intensité légère. Le recourant ne présentait pas de comorbidité ni de trouble de la personnalité. Le traitement psychothérapeutique avait été adéquat et suivi par lui. Il n’y avait pas d’incohérences entre ses plaintes et les constatations objectives, en dehors du quotidien du recourant, qui selon le SMR, n’était pas totalement affecté, en dehors de la composante sociale. L’assuré était nosognosique de ses difficultés. Ainsi, pour le SMR, une capacité travail d’au moins 50 % devrait exister dans une activité limitant les contacts sociaux. En conséquence, il ne pouvait suivre les conclusions de l’expertise en ce qui concernait l’évaluation de la capacité de travail. h. Le 23 avril 2021, le recourant a fait valoir que la valeur probante d’un avis médical du SMR ne pouvait être que relativisée à l’aune de l’expertise judiciaire établie. Le fait que l’expert avait classifié de niveau 1 son atteinte à la santé n’était pas déterminant pour mesurer l’intensité du trouble. En effet, les niveaux de</w:t>
      </w:r>
    </w:p>
    <w:p>
      <w:r>
        <w:t>A/4279/2019 - 8/16 - sévérité s’appliquaient uniquement aux fins de déterminer la qualité du soutien nécessaire à la personne diagnostiquée avec un TSA pour fonctionner dans la communauté. Un adulte présentant un TSA de niveau 1 nécessitait déjà un soutien, ce qui signifiait que son fonctionnement était considérablement impacté et affecté, en raison de ses rituels et de ses comportements restreints et répétitifs au quotidien. Le recourant persistait intégralement dans les conclusions de son recours.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délai de recours est de trente jours (art. 56 LPGA ; art. 62 al. 1 de la loi sur la procédure administrative du 12 septembre 1985 [LPA - E 5 10]). Interjeté dans la forme et le délai prévus par la loi, le recours est recevable (art. 56 ss LPGA et 62 ss LPA). 4. Le litige porte sur le droit du recourant à une rente entière d’invalidité dès le 1er janvier 2018. 5. 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A/4279/2019 - 9/16 -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 5.2.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w:t>
      </w:r>
    </w:p>
    <w:p>
      <w:r>
        <w:t>A/4279/2019 - 10/16 -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w:t>
      </w:r>
    </w:p>
    <w:p>
      <w:r>
        <w:t>A/4279/2019 - 11/16 -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DSM-5 (ATF 143 V 409 consid. 4.5.2 et 141 V 281 consid. 2.2 et 3.2 ; arrêt du Tribunal fédéral 8C_841/2016 du 30 novembre 2017 consid. 4.5.2).</w:t>
      </w:r>
    </w:p>
    <w:p>
      <w:r>
        <w:t>A/4279/2019 - 12/16 -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6. 6.1.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A/4279/2019 - 13/16 - 6.2.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A/4279/2019 - 14/16 - 7.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l’espèce, l’expertise du Dr G______ remplit les réquisits pour se voir reconnaître une pleine valeur probante. L’intimé conteste toutefois les conclusions de l’expert estimant qu’une capacité de travail de 50% dans une activité adaptée doit être retenue. L’expert a précisé dans son rapport, en lien avec les conclusions de la Dresse F______ – qui avait retenu qu’autant le diagnostic de TDAH que celui de TSA étaient présents depuis le début de l’âge adulte et n’avaient pas empêché le recourant de travailler durant de nombreuses années –, que l’expertisé faisait des efforts pour dissimuler ses difficultés et que le TSA, présent depuis l’enfance, était devenu davantage invalidant avec l’augmentation de la charge de travail et de la demande sociale. L’expert a également relevé que le recourant n’avait plus eu d’activité professionnelle depuis plusieurs années. Ainsi, l’expert a motivé ses conclusions sur la capacité de travail résiduelle du recourant de façon convaincante. L’avis du SMR du 12 avril 2021 apparaît purement théorique et relève d’une appréciation différente de celle de l’expert, sans mettre en évidence des faits que l’expert aurait ignorés ou des contradictions dans son expertise. Il ne suffit pas à remettre en cause les conclusions motivées de cette dernière. Il en résulte que le recourant doit être considéré comme ayant eu une capacité de travail de 0% de septembre 2015 à 1er mars 2017, puis de 25% avec une baisse de rendement de 30%. Les conditions lui ouvrant le droit une rente entière d’invalidité sont dès lors clairement remplies, dès le 1er janvier 2018, soit le premier jour du mois au courant duquel le délai de six mois dès le dépôt de la demande de prestations s’est terminé. Il se justifie en conséquence de renoncer à faire procéder à l’expertise somatique qui apparaît inutile. 9. 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w:t>
      </w:r>
    </w:p>
    <w:p>
      <w:r>
        <w:t>A/4279/2019 - 15/16 - En l’espèce, une expertise judiciaire a été ordonnée par la chambre de céans en raison d’une instruction insuffisante de l’intimé. Il se justifie, en conséquence, de mettre les frais liés aux expertises ordonnées à la charge de celui-ci. 10. Le recourant obtenant gain de cause et étant assisté d’un conseil, a droit à des dépens qui seront fixés à CHF 3'000.- (art. 61 let. g LPGA). 11. Un émolument de CHF 200.- sera mis à la charge de l'intimé (art. 69 al. 1bis LAI).</w:t>
      </w:r>
    </w:p>
    <w:p>
      <w:r>
        <w:t>A/4279/2019 - 16/16 -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