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ATAS/771/2015 vom 8. Oktober 2015</w:t>
      </w:r>
    </w:p>
    <w:p>
      <w:r>
        <w:t>GE Cour de justice, 2015-10-08, FR</w:t>
      </w:r>
    </w:p>
    <w:p>
      <w:r>
        <w:rPr>
          <w:b/>
        </w:rPr>
        <w:t xml:space="preserve">Quelle: </w:t>
      </w:r>
      <w:r>
        <w:t>https://mcp.opencaselaw.ch/entscheid/ge_gerichte_ATAS_771_2015</w:t>
      </w:r>
    </w:p>
    <w:p>
      <w:r>
        <w:t>FR: GE_GERICHTE ATAS/771/2015 du 8 octobre 2015</w:t>
      </w:r>
    </w:p>
    <w:p>
      <w:r>
        <w:t>IT: GE_GERICHTE ATAS/771/2015 del 8 ottobre 2015</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w:t>
      </w:r>
    </w:p>
    <w:p>
      <w:r>
        <w:rPr>
          <w:b/>
        </w:rPr>
        <w:t>E. 3</w:t>
      </w:r>
    </w:p>
    <w:p>
      <w:r>
        <w:t>Interjeté dans les formes et délai prévus par la loi, le recours est recevable (art. 56 à 60 LPGA).</w:t>
      </w:r>
    </w:p>
    <w:p>
      <w:r>
        <w:rPr>
          <w:b/>
        </w:rPr>
        <w:t>E. 4</w:t>
      </w:r>
    </w:p>
    <w:p>
      <w:r>
        <w:t>Le litige se limite au point de savoir si l’intimé était fondé à refuser d’entrer en matière sur la dernière demande de prestations du recourant.</w:t>
      </w:r>
    </w:p>
    <w:p>
      <w:r>
        <w:rPr>
          <w:b/>
        </w:rPr>
        <w:t>E. 5</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w:t>
      </w:r>
    </w:p>
    <w:p>
      <w:r>
        <w:t>A/3826/2014 - 7/10 - durée limitée dans le temps (arrêt du Tribunal fédéral 9C_970/2010 du 30 mars 2011).</w:t>
      </w:r>
    </w:p>
    <w:p>
      <w:r>
        <w:rPr>
          <w:b/>
        </w:rPr>
        <w:t>E. 6</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7</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w:t>
      </w:r>
    </w:p>
    <w:p>
      <w:r>
        <w:t>A/3826/2014 - 8/10 - 2011 consid. 4 ; voir arrêt de la Cour européenne des droits de l'homme Dombo Beheer BV contre Pays-Bas du 27 octobre 1993, Série A, vol. 274 n° 33).</w:t>
      </w:r>
    </w:p>
    <w:p>
      <w:r>
        <w:rPr>
          <w:b/>
        </w:rPr>
        <w:t>E. 8</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9</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10</w:t>
      </w:r>
    </w:p>
    <w:p>
      <w:r>
        <w:t>Il ressort de ce qui précède que la question qui se pose en l’occurrence est uniquement celle de savoir si le recourant, au moment de la décision litigieuse - soit le 11 novembre 2014 - avait rendu plausible une aggravation de son état de santé survenue depuis le 14 avril 2010 - date du dernier rejet après examen au fond. En l’occurrence, l’atteinte principale au moment de la décision initiale était une fracture comminutive du tiers moyen de la clavicule et une luxation de l’articulation acromio-claviculaire à droite. S’y ajoutaient des lombalgies sur discopathie L5-S1 assez marquée (cf. rapport du Dr D______ du 5 décembre 2008) et une insuffisance veineuse des membres inférieurs de stade II (cf. rapport du Dr C______ du 27 janvier 2010). Or, force est de constater que la nouvelle demande de l’assuré repose sur les mêmes éléments médicaux que ses précédentes requêtes. En particulier, le Dr F______, dans son certificat du 12 février 2014, qualifie l’évolution de l’état de santé de son patient de « stationnaire depuis des années ». Quant au Dr C______, il a certes mentionné la nécessité d’une nouvelle intervention des membres inférieurs, mais sans attester d’aucune dégradation durable sur ce plan. Il avait au demeurant déjà</w:t>
      </w:r>
    </w:p>
    <w:p>
      <w:r>
        <w:t>A/3826/2014 - 9/10 - été tenu compte des limitations induites par cette affection par la limitation du périmètre de marche et la constatation que l’activité de serveur n’était plus exigible. Quant aux pièces médicales produites après la décision litigieuse, soit après le</w:t>
      </w:r>
    </w:p>
    <w:p>
      <w:r>
        <w:rPr>
          <w:b/>
        </w:rPr>
        <w:t>E. 11</w:t>
      </w:r>
    </w:p>
    <w:p>
      <w:r>
        <w:t>novembre 2014, elles ne sauraient être prises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Il demeure néanmoins loisible au recourant de saisir en tout temps l’administration d’une nouvelle demande de prestations s’il estime que les conditions réglementaires sont remplies. Eu égard aux considérations qui précèdent, le recours est rejeté.</w:t>
      </w:r>
    </w:p>
    <w:p>
      <w:r>
        <w:t>A/3826/2014 - 10/10 -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