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ATAS/770/2022 vom 5. September 2022</w:t>
      </w:r>
    </w:p>
    <w:p>
      <w:r>
        <w:t>GE Cour de justice, 2022-09-05, FR</w:t>
      </w:r>
    </w:p>
    <w:p>
      <w:r>
        <w:rPr>
          <w:b/>
        </w:rPr>
        <w:t xml:space="preserve">Quelle: </w:t>
      </w:r>
      <w:r>
        <w:t>https://mcp.opencaselaw.ch/entscheid/ge_gerichte_ATAS_770_2022</w:t>
      </w:r>
    </w:p>
    <w:p>
      <w:r>
        <w:t>FR: GE_GERICHTE ATAS/770/2022 du 5 septembre 2022</w:t>
      </w:r>
    </w:p>
    <w:p>
      <w:r>
        <w:t>IT: GE_GERICHTE ATAS/770/2022 del 5 settembre 2022</w:t>
      </w:r>
    </w:p>
    <w:p>
      <w:pPr>
        <w:pStyle w:val="Heading2"/>
      </w:pPr>
      <w:r>
        <w:t>Erwägungen</w:t>
      </w:r>
    </w:p>
    <w:p>
      <w:r>
        <w:rPr>
          <w:b/>
        </w:rPr>
        <w:t>E. 1.1</w:t>
      </w:r>
    </w:p>
    <w:p>
      <w:r>
        <w:t>Conformément à l'art. 134 al. 1 let. a ch. 2 de la loi sur l'organisation judiciaire, du 26 septembre 2010 (LOJ - E 2 05),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w:t>
      </w:r>
    </w:p>
    <w:p>
      <w:r>
        <w:rPr>
          <w:b/>
        </w:rPr>
        <w:t>E. 1.2</w:t>
      </w:r>
    </w:p>
    <w:p>
      <w:r>
        <w:t>Interjeté en temps utile, le recours est recevable (art. 60 LPGA).</w:t>
      </w:r>
    </w:p>
    <w:p>
      <w:r>
        <w:rPr>
          <w:b/>
        </w:rPr>
        <w:t>E. 2</w:t>
      </w:r>
    </w:p>
    <w:p>
      <w:r>
        <w:t>Le litige porte sur le droit de la recourante à une rente d’invalidité, singulièrement sur la survenance d’une aggravation de son état de santé depuis la décision de l’intimé du 4 décembre 2018.</w:t>
      </w:r>
    </w:p>
    <w:p>
      <w:r>
        <w:rPr>
          <w:b/>
        </w:rPr>
        <w:t>E. 3</w:t>
      </w:r>
    </w:p>
    <w:p>
      <w:r>
        <w:t>Le 1er janvier 2022, sont entrées en vigueur les modifications de la LAI du 19 juin 2020 (développement continu de l’AI ; RO 2021 705). En cas de changement de règles de droit, la législation applicable reste, en principe, celle en vigueur au moment où les faits juridiquement déterminants se sont produits et le juge se fonde, en règle générale, sur l'état de fait réalisé à la date déterminante de la décision litigieuse (ATF 144 V 210 consid. 4.3.1 ; ATF 132 V 215 consid. 3.1.1 et les références). En l’occurrence, la décision querellée a été rendue antérieurement au 1er janvier 2022, de sorte que les dispositions légales applicables seront citées dans leur ancienne teneur.</w:t>
      </w:r>
    </w:p>
    <w:p>
      <w:r>
        <w:rPr>
          <w:b/>
        </w:rPr>
        <w:t>E. 4.1</w:t>
      </w:r>
    </w:p>
    <w:p>
      <w:r>
        <w:t>; ATF 127 V 10 consid. 4b).</w:t>
      </w:r>
    </w:p>
    <w:p>
      <w:r>
        <w:rPr>
          <w:b/>
        </w:rPr>
        <w:t>E. 4.2</w:t>
      </w:r>
    </w:p>
    <w:p>
      <w:r>
        <w:t>Lorsque l’administration entre en matière sur une nouvelle demande, après avoir nié le droit à une prestation [cf. art. 87 al. 3 du règlement sur l’assurance- invalidité du 17 janvier 1961 (RAI – RS 831.201)], l’examen matériel doit être effectué de manière analogue à celui d'un cas de révision au sens de l'art. 17 al. 1 LPGA (ATF 133 V 108 consid. 5 et les références ; ATF 130 V 343 consid. 3.5.2 et les références ; ATF 130 V 71 consid. 3.2 et les références ; cf. arrêt du Tribunal fédéral 9C_899/2015 du 4 mars 2016 consid. 4.1 et les références). L’art. 17 al. 1er LPGA dispose que si le taux d’invalidité du bénéficiaire de la rente subit une modification notable, la rente est, d’office ou sur demande, révisée pour l’avenir, à savoir augmentée ou réduite en conséquence, ou encore supprimée. Il convient ici de relever que l’entrée en vigueur de l’art. 17 LPGA, le 1er janvier 2003, n’a pas apporté de modification aux principes jurisprudentiels développés sous le régime de l’ancien art. 41 LAI, de sorte que ceux-ci demeurent applicables par analogie (ATF 130 V 343 consid. 3.5). Tout changement important des circonstances propre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134 V 131 consid. 3 ; ATF 130 V 343 consid. 3.5). Tel est le cas lorsque la capacité de travail s'améliore grâce à une accoutumance ou à une adaptation au handicap (ATF 141 V 9 consid. 2.3 ; arrêt du Tribunal fédéral 9C_622/2015 consid. 4.1). Il n'y a pas matière à révision lorsque les circonstances sont demeurées inchangées et que le motif de la suppression ou de la diminution de la rente réside uniquement dans une nouvelle appréciation du cas (ATF 141 V</w:t>
      </w:r>
    </w:p>
    <w:p>
      <w:r>
        <w:rPr>
          <w:b/>
        </w:rPr>
        <w:t>E. 9</w:t>
      </w:r>
    </w:p>
    <w:p>
      <w:r>
        <w:t>consid. 2.3 ; ATF 112 V 371 consid. 2b ; ATF 112 V 387 consid. 1b). Un motif de révision au sens de l'art. 17 LPGA doit clairement ressortir du dossier. La réglementation sur la révision ne saurait en effet constituer un fondement juridique à un réexamen sans condition du droit à la rente (arrêt du Tribunal fédéral des assurances I 111/07 du 17 décembre 2007 consid. 3 et les références). Un changement de jurisprudence n'est pas un motif de révision (ATF 129 V 200 consid. 1.2). Le point de savoir si un changement notable des circonstances s’est produit doit être tranché en comparant les faits tels qu’ils se présentaient au moment de la dernière révision de la rente entrée en force et les circonstances qui régnaient à l’époque de la décision litigieuse. C’est en effet la dernière décision qui repose sur un examen matériel du droit à la rente avec une constatation des faits pertinents, une appréciation des preuves et une comparaison des revenus conformes au droit qui constitue le point de départ temporel pour l’examen d’une modification du</w:t>
      </w:r>
    </w:p>
    <w:p>
      <w:r>
        <w:t>A/3858/2021 - 9/12 - degré d’invalidité lors d’une nouvelle révision de la rente (ATF 133 V 108 consid. 5.4 ; ATF 130 V 343 consid. 3.5.2). 5.</w:t>
      </w:r>
    </w:p>
    <w:p>
      <w:r>
        <w:t>5.1 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 5.2 En vertu de l’art. 28 al. 1 LAI (dans sa version antérieure au 1er janvier 2004), l’assuré a droit à une rente entière s’il est invalide à 66 2/3% au moins, à une demi-rente s’il est invalide à 50% au moins, ou à un quart de rente s’il est invalide à 40% au moins ; dans les cas pénibles, l’assuré peut, d’après l’art. 28 al. 1bis LAI, prétendre à une demi-rente s’il est invalide à 40% au moins. Dès le 1er janvier 2004, l’assuré a droit à une rente entière s’il est invalide à 70% au moins, à un trois quarts de rente s'il est invalide à 60% au moins, à une demi-rente s’il est invalide à 50% au moins, ou à un quart de rente s’il est invalide à 40% au moins (art. 28 al. 2 LAI). 5.3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 al. 2 LAI). 6. Pour pouvoir calculer le degré d'invalidité, l'administration (ou le juge, s'il y a eu un recours) a besoin de documents que le médecin, éventuellement aussi d'autres spécialistes, doivent lui fournir (ATF 125 V 261 consid. 4). La tâche du médecin dans le cadre d'une révision de la rente selon l'art. 17 LPGA consiste avant tout à établir l'existence ou non d'une amélioration de l'état de santé de l'assuré en comparant les faits tels qu'ils se présentaient au moment de la décision initiale avec la situation au moment de son examen (ATF 125 V 369 consid. 2).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w:t>
      </w:r>
    </w:p>
    <w:p>
      <w:r>
        <w:t>A/3858/2021 - 10/12 -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125 V 351 consid. 3). 7.</w:t>
      </w:r>
    </w:p>
    <w:p>
      <w:r>
        <w:t>7.1 En l’occurrence, l’intimé a rendu une décision de refus de rente d’invalidité le 4 décembre 2018, laquelle a été annulée par l’ATAS/873/2019 de la chambre de céans, et la recourante a été mise au bénéfice d’une demi-rente d’invalidité de janvier à juin 2018, avec le constat que dès le 26 mars 2018, sa capacité de travail était totale ; il a été relevé que dès cette date, la recourante ne présentait pas de limitations fonctionnelles majeures ni de limitations uniformes des activités dans tous les domaines de la vie, dès lors qu’elle arrivait à gérer son quotidien, à avoir des contacts sociaux et à tenir son ménage. 7.2 Il convient de déterminer si l’état de santé de la recourante s’est aggravé depuis la décision précitée du 4 décembre 2018 et antérieurement à la décision litigieuse. A cet égard, le psychiatre traitant de la recourante a attesté d’une aggravation de l’état de santé de celle-ci depuis août 2019. L’intimé admet cette aggravation mais estime qu’elle est survenue postérieurement à la décision litigieuse d’octobre 2021, soit au plus tard lors de la réception du rapport médical du psychiatre traitant du 6 avril 2022. A l’appui de sa position, l’intimé souligne, en suivant l’avis du SMR du 20 juin 2022, que les rapports du psychiatre traitant des 23 novembre 2020 et 14 juillet 2021 ne retiennent qu’un diagnostic de trouble dépressif réactionnel à la situation somatique, avec un tableau clinique moins sévère que celui décrit ensuite, soit en avril 2022. 7.3 L’aggravation de l’état de santé psychique de la recourante étant admise par les parties, reste à déterminer la date de sa survenance. Le psychiatre traitant a posé, tant le 23 novembre 2020 que le 14 juillet 2021, un diagnostic de trouble dépressif récurrent. Il n’a, en particulier, pas mentionné de trouble réactionnel à une « situation somatique », comme l’a relevé le SMR, mais une symptomatologie qui faisait suite à une perte d’emploi et une séparation, sans récupération, depuis, d’une thymie stable (rapport du 23 novembre 2020). La symptomatologie anxieuse et dépressive est qualifiée de sévère, avec des idées noires et suicidaires passives, fluctuantes (rapport du 23 novembre 2020) et chroniques (rapport du 14 juillet 2021). La recourante présente de la fatigue chronique, de l’apathie, de l’anhédonie, de la perte d’estime de soi, du</w:t>
      </w:r>
    </w:p>
    <w:p>
      <w:r>
        <w:t>A/3858/2021 - 11/12 - négativisme, des troubles de la concentration (rapport du 20 novembre 2020), un ralentissement psychomoteur, des troubles cognitifs, de la démotivation, de la fatigue chronique et une humeur déprimée (rapport du 14 juillet 2021). Dans les deux rapports précités, un important isolement social est souligné : la recourante reste à la maison, souvent couchée au lit, sans loisirs. Or, cette description de la symptomatologie de la recourante témoigne déjà d’une aggravation de la situation par rapport à celle décrite dans le jugement précité pour la période courant dès mars 2018. Par ailleurs, s’agissant du tableau clinique décrit dans le rapport du psychiatre traitant d’avril 2022, celui-ci relève une thymie fortement abaissée, une tristesse de l’humeur quotidienne et une anhédonie importante, une aboulie, une fatigabilité intense et une irritabilité intense, des idées noires et suicidaires fluctuantes, une vue négative de l’avenir et des idées de dévalorisation et de frustrations, des difficultés de concentration, trouble de la mémoire, un état de détresse avec isolement social, de l’anxiété chronique, de l’angoisse. Or, tous ces symptômes ont été mentionnés dans les deux rapports précédents de 2020 et 2021, hormis un trouble du sommeil avec insomnies nocturnes. Certains éléments, plus détaillés, sont mentionnés par le psychiatre traitant dans le rapport du 6 avril 2022, ce qui ne permet pas encore d’en inférer qu’il existe une différence de status psychiatrique entre novembre 2020 / juillet 2021 et avril 2022. Cette différence doit plutôt être mise en lien avec le fait que le rapport de 2022 est plus étayé et répond à des questions précises par rapport aux deux rapports médicaux AI de 2020 et 2021. 7.4 Au vu de ce qui précède et au degré de la vraisemblance prépondérante, il apparait que l’état de santé psychique de la recourante s’est aggravé à tout le moins antérieurement à octobre 2021, date de la décision litigieuse. En conséquence, cette aggravation doit être prise en compte dans le cadre de la présente procédure. Vu l’absence d’instruction médicale de cette aggravation, l’expertise administrative la plus récente étant celle du Dr H______ de 2018, il convient de renvoyer la cause à l’intimé pour instruction médicale complémentaire et nouvelle décision. 8. Le recours sera partiellement admis, la décision litigieuse annulée et la cause renvoyée à l’intimé dans le sens des considérants. Pour le surplus, la recourante obtenant gain de cause, une indemnité de CHF 2'500.- lui sera accordée à titre de participation à ses frais et dépens (art. 61 let. g LPGA ; art. 6 du règlement sur les frais, émolument et indemnités en matière administrative du 30 juillet 1986 [RFPA – E 5 10.03]). Au vu du sort du recours, il y a lieu de condamner l'intimé au paiement d'un émolument de CHF 200.- (art. 69 al. 1bis LAI).</w:t>
      </w:r>
    </w:p>
    <w:p>
      <w:r>
        <w:t>A/3858/2021 - 12/12 -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