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ATAS/770/2021 vom 22. Juli 2021</w:t>
      </w:r>
    </w:p>
    <w:p>
      <w:r>
        <w:t>GE Cour de justice, 2021-07-22, FR</w:t>
      </w:r>
    </w:p>
    <w:p>
      <w:r>
        <w:rPr>
          <w:b/>
        </w:rPr>
        <w:t xml:space="preserve">Quelle: </w:t>
      </w:r>
      <w:r>
        <w:t>https://mcp.opencaselaw.ch/entscheid/ge_gerichte_ATAS_770_2021</w:t>
      </w:r>
    </w:p>
    <w:p>
      <w:r>
        <w:t>FR: GE_GERICHTE ATAS/770/2021 du 22 juillet 2021</w:t>
      </w:r>
    </w:p>
    <w:p>
      <w:r>
        <w:t>IT: GE_GERICHTE ATAS/770/2021 del 22 luglio 2021</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oppositions en application des lois précitées.</w:t>
      </w:r>
    </w:p>
    <w:p>
      <w:r>
        <w:t>Le recours a été interjeté en temps utile (art. 60 al. 1 LPGA ; art. 43 LPCC), dans le respect des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w:t>
      </w:r>
    </w:p>
    <w:p>
      <w:r>
        <w:t>A/3817/2020 - 8/14 - Le recours est donc recevable.</w:t>
      </w:r>
    </w:p>
    <w:p>
      <w:r>
        <w:rPr>
          <w:b/>
        </w:rPr>
        <w:t>E. 2</w:t>
      </w:r>
    </w:p>
    <w:p>
      <w:r>
        <w:t>Le 1er janvier 2021 est entrée en vigueur la modification du 21 juin 2019 de la LPGA. Toutefois, dans la mesure où le recours était pendant devant la chambre de céans au 1er janvier 2021, il reste soumis à l'ancien droit (cf. art. 82a LPGA ; RO 2020 5137 ; FF 2018 1597 ; erratum de la CdR de l’Ass.féd. du 19 mai 2021, publié le 18 juin 2021 in RO 2021 358). Ne s’appliquent pas non plus en l’espèce, eu égard à leurs dispositions transitoires respectives, les modifications, également entrées en vigueur le 1er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w:t>
      </w:r>
    </w:p>
    <w:p>
      <w:r>
        <w:rPr>
          <w:b/>
        </w:rPr>
        <w:t>E. 3</w:t>
      </w:r>
    </w:p>
    <w:p>
      <w:r>
        <w:t>a. Les PCF sont destinées à couvrir la part des dépenses reconnues qui excède les revenus déterminants (art. 9 al. 1 LPC). Tant les dépenses reconnues que les revenus déterminants sont définis par la loi, de manière exhaustive (arrêt du Tribunal fédéral 8C_140/2008 du 25 février 2009 consid. 6.1 et 7 ; ch. 3411.02 des directives de l'office fédéral des assurances sociales concernant les prestations complémentaires à l'AVS et à l'AI [ci-après : DPC] ; Michel VALTERIO, Commentaire de la loi fédérale sur les prestations complémentaires à l'AVS et à l'AI, 2015, n. 1 ad art. 10 et n. 1 ad art. 11).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En l'espèce, est seule litigieuse la façon dont l'intimé a pris en compte le droit d'habitation de la recourante, pour la période couverte par les deux décisions initiales confirmées par la décision attaquée (s'étant substituée à elles), soit la période du 1er janvier 2019 au 31 décembre 2020 (étant précisé que la période dès le 1er janvier 2021 ne fait pas l'objet du recours A/3817/2020, dès lors que la décision initiale la visant, soit celle du 5 décembre 2020, a été frappée d'une opposition sur laquelle l'intimé n'a pas encore statué). Un droit d'habitation d'un bénéficiaire (ou requérant) de PC doit être pris en compte aux niveaux d'une part des dépenses reconnues et d'autre part du revenu déterminant.</w:t>
      </w:r>
    </w:p>
    <w:p>
      <w:r>
        <w:rPr>
          <w:b/>
        </w:rPr>
        <w:t>E. 4</w:t>
      </w:r>
    </w:p>
    <w:p>
      <w:r>
        <w:t>a. Pour une personne vivant seule à domicile (à l'instar de la recourante), font partie des dépenses prises en compte pour le calcul du droit aux PC, en sus notamment des montants destinés à la couverture des besoins vitaux</w:t>
      </w:r>
    </w:p>
    <w:p>
      <w:r>
        <w:t>A/3817/2020 - 9/14 - (respectivement, pour les PCC, du revenu minimum cantonal d’aide sociale applicable), le loyer d'un appartement et les frais accessoires y relatifs, plafonnés ensemble à hauteur d'un montant maximal, ou le cas échéant, en lieu et place du loyer, la valeur locative de l'immeuble sur lequel le bénéficiaire (ou requérant) de PC a un droit de propriété, un usufruit ou un droit d'habitation et dans lequel il habite, à hauteur du montant maximal prévu pour un appartement loué (art. 10 al. 1 let. b ch. 1 LPC ; art. 16a de l'ordonnance sur les prestations complémentaires à l’assurance-vieillesse, survivants et invalidité du 15 janvier 1971 - OPC-AVS/AI - RS 831.301 ; ch. 3236.01, 3236.02 et 3236.03 DPC). Conformément à l'art. 12 OPC-AVS/AI, la valeur locative du logement occupé par le propriétaire ou l’usufruitier est estimée selon les critères de la législation sur l’impôt cantonal direct du canton de domicile, à défaut selon ceux de l'impôt fédéral direct. La LPC le prévoit explicitement dans sa teneur en vigueur dès le 1er janvier 2021, à son art. 10 al. 1 let. c. Comme le Conseil fédéral l'a relevé dans son Message du 16 septembre 2016 relatif à la modification de la LPC (FF 2016 7249 ss), cette let. c a été introduite à l'art. 10 al. 1 LPC pour des raisons de transparence, sans que cet ajout n'ait de conséquences matérielles, car c'était déjà le cas que – dans l'hypothèse visée d'un bénéficiaire (ou requérant) de PC habitant l'immeuble dont il était propriétaire ou sur lequel il bénéficiait d'un usufruit ou d'un droit d'habitation – la valeur locative était reconnue comme dépense à concurrence du montant maximal qui serait prise en compte au titre du loyer en cas de location d'un appartement (FF 2016 7319 s.). Ainsi, la dépense de loyer ne concerne pas seulement le locataire d'un appartement, mais aussi l'usufruitier, le bénéficiaire d'un droit d'habitation ainsi que le propriétaire vivant dans son propre appartement (arrêt du Tribunal fédéral 9C_202/2009 du 19 octobre 2009 consid. 3.2), et dans ce cas, est prise en compte comme dépense la valeur locative, telle que définie par l'autorité fiscale, y compris le forfait pour frais accessoires, ceci jusqu'à concurrence des montants prévus à l'art. 10 al. 1 let. b LPC (arrêt du Tribunal fédéral des assurances P 46/02 du 2 novembre 2006 consid. 3.2 ; Michel VALTERIO, op. cit., n. 10 ad art. 10). b. D'autres frais doivent en outre être pris en compte pour le calcul du droit aux PC, au titre des dépenses reconnues. En particulier, selon l'art. 10 al. 3 let. b LPC, un montant, arrêté par les cantons, doit l'être pour les frais d'entretien des bâtiments et les intérêts hypothécaires, jusqu'à concurrence du rendement brut de l'immeuble, lesdits frais d'entretien et intérêts hypothécaires étant à considérer ensemble (ATF 138 V 17 consid. 4.2.1 p. 20 ; Michel VALTERIO, op. cit., n. 52 ad art. 10). L'art. 16 OPC-AVS/AI précise que la déduction forfaitaire pour l’impôt cantonal direct dans le canton de domicile (à défaut, celle de l'impôt fédéral direct) s’applique aux frais d’entretien des bâtiments. Dans le canton de Genève, l'art. 20 al. 2 du règlement d'application de la loi sur l'imposition des personnes physiques 13 janvier 2010 (RIPP - D 3 08.1) dispose que cette déduction forfaitaire, calculée sur la valeur locative selon l'art. 24 al. 2 de la loi sur l'imposition des personnes</w:t>
      </w:r>
    </w:p>
    <w:p>
      <w:r>
        <w:t>A/3817/2020 - 10/14 - physiques du 27 septembre 2009 (LIPP - D 3 08), s'élève à 10 % si l'âge du bâtiment au début de la période fiscale est inférieur à dix ans, et à 20 % si celui-ci est supérieur à dix ans. c. Quant à lui, le revenu déterminant pour le calcul du droit aux PC comprend notamment le produit de la fortune immobilière (art. 11 al. 1 let. b LPC). Le logement occupé par le propriétaire, le bénéficiaire d'un usufruit ou d'un droit d'habitation représente une valeur économique, à prendre en compte à ce titre. Est alors déterminante la valeur locative du logement, estimée selon les critères de la législation sur l'impôt cantonal direct du canton de domicile ou, à défaut, ceux de l'impôt fédéral direct, une éventuelle déduction pour usage propre devant être ignorée (Ralph JÖHR / Patricia USINGER-EGGER, Ergänzungsleistungen zur AHV/IV, in Schweizerisches Bundesverwaltungsrecht, Bd XIV : Soziale Sicherheit – Sécurité sociale, éd. par Ulrich MEYER, 3ème éd., 2016, p. 1681 ss, n. 152 ; Michel VALTERIO, op. cit. n. 38 et 40 ad art. 11). L'art. 12 OPC-AVS/AI le précise explicitement pour un logement occupé par le propriétaire ou l’usufruitier, mais cette disposition s'applique également au titulaire d'un droit d'habitation (Michel VALTERIO, op. cit., note de bas de page 422, p. 140 ; Pierre FERRARI, Dessaisissement volontaire et prestations complémentaires à l'AVS/AI, RSAS 2002 p. 417 ss, 427). C'est aussi ce que retient le ch. 3433.02 DPC. Dans sa teneur en vigueur depuis le 1er janvier 2021, l'art. 11 al. 1 let. b LPC a été complété par la mention explicite de la valeur annuelle d’un usufruit ou d’un droit d’habitation ou de la valeur locative annuelle d’un immeuble dont le bénéficiaire de PC ou une autre personne comprise dans le calcul de ces prestations est propriétaire, et qui sert d’habitation à l’une de ces personnes au moins. Là également, c'est pour des motifs de transparence que cet ajout a été apporté à ladite disposition légale, sans que cela n'entraîne de conséquences matérielles, car – ainsi que le Conseil fédéral l'a indiqué dans son message précité – la valeur locative d'un bien immobilier était déjà prise en considération pour le calcul du droit aux PC dans les situations considérées d'un logement occupé par le propriétaire, l'usufruitier ou le titulaire d'un droit d'habitation (FF 2016 7320 s.). Le Tribunal fédéral a jugé que la contre-valeur d'un droit d'habitation ne doit pas être considérée comme un revenu lorsque l'ayant droit ne peut plus l'exercer pour des raisons de santé, dès lors que le droit d'habitation est incessible quant à sa substance et son exercice (art. 776 al. 2 CC ; ATF 99 V 110 consid. 3).</w:t>
      </w:r>
    </w:p>
    <w:p>
      <w:r>
        <w:rPr>
          <w:b/>
        </w:rPr>
        <w:t>E. 5</w:t>
      </w:r>
    </w:p>
    <w:p>
      <w:r>
        <w:t>a. En l'espèce, la valeur locative du droit d'habitation de la recourante, telle que l'administration fiscale cantonale l'a établie (annexe à pce 92 SPC), est de CHF 24'000.00, sans que la recourante ne conteste et sans que n'apparaisse contestable que le fisc l'a dûment établie en application des critères légaux applicables. Aussi est-ce à bon droit que l'intimé a retenu ce montant au titre tant des dépenses reconnues que du revenu déterminant, dans la colonne "Montant présenté" des</w:t>
      </w:r>
    </w:p>
    <w:p>
      <w:r>
        <w:t>A/3817/2020 - 11/14 - plans de calcul des décisions initiales des 19 décembre 2018 et 2 décembre 2019, confirmées par la décision sur opposition objet du recours A/3817/2020 (comme d'ailleurs dans la décision initiale du 18 septembre 2018, confirmée par la décision sur opposition du 18 décembre 2018, que la recourante avait contestée par le biais de son recours A/399/2019 ayant donné lieu à l'ATAS/812/2020 du 28 septembre 2020). b. Il appert dès lors, au regard des règles exposées supra (consid. 4), que c'est conformément au droit que, dans les dépenses reconnues, l'intimé a ajouté des "frais accessoires immeuble" de CHF 1'680.00, pour cependant ne prendre en compte, dans le calcul du droit aux PC (tant fédérales que cantonales) la valeur locative précitée et ces frais accessoires qu'à hauteur du montant plafonné de CHF 13'200.00 (en lui-même incontesté), d'une part, et qu'il a retenu et pris en compte un montant de CHF 4'800.00 au titre de "frais entretien des bâtiments", d'autre part. Quittant provisoirement le thème des dépenses reconnues, il sied d'ajouter que l'intimé a par ailleurs fait une juste application du droit en retenant intégralement ladite valeur locative de CHF 24'000.00, au titre des produits de la fortune immobilière de la recourante, pour le calcul du droit de cette dernière aux PC (tant fédérales que cantonales). La recourante n'est pas dans la situation de ne pouvoir exercer son droit d'habitation pour des motifs impératifs tels que des raisons de santé. c. La question est de savoir si d'autres dépenses reconnues devaient être retenues par l'intimé, en particulier des intérêts hypothécaires.</w:t>
      </w:r>
    </w:p>
    <w:p>
      <w:r>
        <w:rPr>
          <w:b/>
        </w:rPr>
        <w:t>E. 6</w:t>
      </w:r>
    </w:p>
    <w:p>
      <w:r>
        <w:t>a. Dans la décision initiale du 18 septembre 2018 confirmée par la décision sur opposition du 18 décembre 2018 ayant été contestée par le recours A/399/2019, l'intimé avait ajouté, dans les dépenses reconnues, CHF 6'960.00 d'intérêts hypothécaires aux CHF 4'800.00 de "frais entretien des bâtiments" pour retenir le total de ces deux montants, à savoir CHF 11'760.00, pour calculer le droit de la recourante aux PC (tant fédérales que cantonales). Dans son ATAS/812/2020 du 28 septembre 2020, la chambre de céans a avalisé la prise en compte, au titre des dépenses reconnues, de ces intérêts hypothécaires, dont il n'est pas contesté qu'ils correspondent à ceux qu'assume en l'occurrence la recourante (et non sa fille, propriétaire de l'appartement en question). Aussi paraît-il étonnant que l'intimé s'appuie sur cet arrêt pour fonder sa décision sur opposition faisant l'objet du recours A/3817/2020, alors que les décisions initiales que celle-ci confirme ne retiennent plus d'intérêts hypothécaires dans les dépenses reconnues. b. Il est vrai qu'à teneur de l'art. 778 al. 1 CC, le bénéficiaire d'un droit d'habitation est chargé des réparations ordinaires d'entretien (de surcroît si – comme c'est le cas de la recourante – il a la jouissance exclusive de la maison ou de l'appartement, à défaut de quoi, c'est-à-dire si le droit d'habitation s'exerce en commun avec le propriétaire, les frais d'entretien incombent à ce dernier). Ainsi, habituellement, il ne doit pas le service des intérêts hypothécaires, des impôts et taxes en relation avec</w:t>
      </w:r>
    </w:p>
    <w:p>
      <w:r>
        <w:t>A/3817/2020 - 12/14 - l'immeuble et des primes d'assurances de celui-ci (ATF 52 II 124 = JdT 1926 I 485 ; Amadéo WERMELINGER, Commentaire romand du Code civil II, 2016, n. 7 ad art. 778 CC ; Paul-Henri STEINAUER, Les droits réels, tome III, 4ème éd, 2012, p. 108, n. 2507 ; Paul PIOTET, Les droits réels limités en général, les servitudes et les charges foncières, tome V,3 du Traité de droit privé suisse, 1969, p. 121). Il n'y a alors pas de raison, pour le calcul du droit aux PC du titulaire du droit d'habitation, d'ajouter dans les dépenses reconnues des dépenses qu'il n'a pas à assumer. c. Le droit d'habitation dont bénéficie la recourante (à titre exclusif depuis le décès de son ex-époux en 2012 sinon depuis leur divorce en 2004) a cependant été constitué contre l'engagement de régler toutes les charges afférentes à l'appartement considéré. L'acte notarié des 20. 25 et 29 novembre 1995 (annexe à pce 118 SPC) constitutif dudit droit le prévoit explicitement. Il est par ailleurs établi à satisfaction de droit que cette clause ne se limitait pas à la prise en charge des réparations ordinaires d'entretien, mais bien, en dérogation à l'art. 778 CC, également de toutes les autres charges liées audit appartement, en particulier des intérêts hypothécaires, des charges de copropriété, des impôts immobiliers et des primes d'assurance, charges que la recourante et, initialement, son époux d'alors ont effectivement assumées, puis dont la recourante s'est ensuite acquittée avec l'aide de son père (cf. not. annexes à pce 1 SPC, pce 88 SPC, annexes à pce 118 SPC). Il n'est pas contraire au droit de prévoir que le bénéficiaire d'un droit d'habitation doit, en contrepartie, assumer d'autres charges que les réparations ordinaires d'entretien. Comme le relève Paul PIOTET (op. cit., p. 121), l'art. 778 CC règle exhaustivement la question des charges liées au droit d'habitation, "sauf clause contraire". Le droit d'habitation n'est pas concédé obligatoirement à titre gratuit, non seulement au moment de sa constitution, mais aussi durant toute la durée de son exercice. Des clauses dérogeant à la réglementation du CC sur le droit d'habitation sont admissibles, du moins au titre d'engagements personnels entre les parties et non (forcément) avec effets réels (Amadéo WERMELINGER, op. cit., n. 8, 9 et 32 ad art. 776 ; Paul-Henri STEINAUER, op. cit., p. 107 s, n. 2506a et 2506b). d. Il importe alors, dans les limites où la législation sur les PC le prévoit, d'intégrer les charges en question dans les dépenses reconnues pour le calcul du droit aux PC. Comme la chambre de céans l'a retenu dans l'ATAS/812/2020 statuant sur le recours A/399/2019 de la recourante (consid. 13), tel est le cas pour les intérêts hypothécaires (art. 10 al. 3 let. b LPC), mais pas pour l'impôt immobilier et les primes d'assurances, ni pour d'autres frais tels que les charges de copropriété ou, au- delà du forfait admis, les frais d'entretien. Il s'ensuit que le recours est partiellement bien fondé, en tant que l'intimé, dans la décision attaquée (confirmant les décisions initiales) n'a pas pris en compte les intérêts hypothécaires assumés par la recourante, à savoir – sous réserve d'une actualisation dudit montant pour les deux années 2019 et 2020 ici concernées – un montant annuel de CHF 6'960.00.</w:t>
      </w:r>
    </w:p>
    <w:p>
      <w:r>
        <w:t>A/3817/2020 - 13/14 -</w:t>
      </w:r>
    </w:p>
    <w:p>
      <w:r>
        <w:rPr>
          <w:b/>
        </w:rPr>
        <w:t>E. 7</w:t>
      </w:r>
    </w:p>
    <w:p>
      <w:r>
        <w:t>a. Le recours doit donc être admis partiellement au sens des considérants, la décision attaquée être annulée et la cause renvoyée à l'intimé pour nouvelle décision (au besoin après une instruction complémentaire sur le montant des intérêts hypothécaires à prendre en compte). b. La procédure est gratuite (art. 61 al. 1 let. a aLPGA ; cf. art. 61 al. 1 let. fbis LPGA). c. La recourante plaidant en personne et n'ayant pas fait état de frais particuliers et importants engagés pour la défense de ses intérêts, il n'y a pas lieu de lui allouer une indemnité de procédure, en dépit du fait qu'elle obtient partiellement gain de cause (art. 61 al. 1 let. g LPGA).</w:t>
      </w:r>
    </w:p>
    <w:p>
      <w:r>
        <w:t>* * * * * *</w:t>
      </w:r>
    </w:p>
    <w:p>
      <w:r>
        <w:t>A/3817/2020 - 14/14 -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