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ATAS/770/2016 vom 27. September 2016</w:t>
      </w:r>
    </w:p>
    <w:p>
      <w:r>
        <w:t>GE Cour de justice, 2016-09-27, FR</w:t>
      </w:r>
    </w:p>
    <w:p>
      <w:r>
        <w:rPr>
          <w:b/>
        </w:rPr>
        <w:t xml:space="preserve">Quelle: </w:t>
      </w:r>
      <w:r>
        <w:t>https://mcp.opencaselaw.ch/entscheid/ge_gerichte_ATAS_770_2016</w:t>
      </w:r>
    </w:p>
    <w:p>
      <w:r>
        <w:t>FR: GE_GERICHTE ATAS/770/2016 du 27 septembre 2016</w:t>
      </w:r>
    </w:p>
    <w:p>
      <w:r>
        <w:t>IT: GE_GERICHTE ATAS/770/2016 del 27 settembre 2016</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 présent recours a été déposé en temps utile (art. 60 al. 1 LPGA ; art. 9 LPFC ; art. 43 LPCC), dans le respect des exigences de forme et de contenu prescrites par la loi (art. 61 let. b LPGA ; art. 89B LPA). L’assuré a qualité pour recourir (art. 59 LPGA ; art. 60 al. 1 let. a et b et art. 89A LPA). Le présent recours est donc recevable.</w:t>
      </w:r>
    </w:p>
    <w:p>
      <w:r>
        <w:rPr>
          <w:b/>
        </w:rPr>
        <w:t>E. 2</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w:t>
      </w:r>
    </w:p>
    <w:p>
      <w:r>
        <w:t>A/2334/2016 - 4/6 - b.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ou de l’assurance-invalidité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donc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op. cit., n. 1 ss ad art. 5).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(ATAS/1235/2013 du 12 décembre 2013 consid. 5).</w:t>
      </w:r>
    </w:p>
    <w:p>
      <w:r>
        <w:t>A/2334/2016 - 5/6 - Il a déjà été jugé que ne peut compter comme temps de résidence en Suisse, en vertu des art. 5 al. 1 et 2 LPC et 2 al. 3 LPCC, que le temps durant lequel les étrangers requérant des prestations complémentaires étaient au bénéfice d’un permis de séjour valable (arrêt du Tribunal fédéral 9C_423/2013 du 26 août 2014 consid. 4.2 et 4.3 ; arrêt du Tribunal fédéral des assurances P 42/90 du 8 janvier 1992, cité in ATF 118 V 79 consid. 4b ; ATAS/185/2007 du 20 février 2007 consid. 9 ; Michel VALTERIO, op. cit., n. 2 ad art. 5). Autrement dit, le fait de n’être pas au bénéfice d’une autorisation de séjour valable fait obstacle à l’obtention de prestations complémentaires.</w:t>
      </w:r>
    </w:p>
    <w:p>
      <w:r>
        <w:rPr>
          <w:b/>
        </w:rPr>
        <w:t>E. 3</w:t>
      </w:r>
    </w:p>
    <w:p>
      <w:r>
        <w:t>a. En l’espèce, la question n’est pas de savoir si le recourant a son domicile en Suisse et, de plus, dans le canton de Genève, le cas échéant depuis combien de temps. Elle est de savoir si, comme étranger ressortissant d’Iran (donc non d’un pays de l’Union européenne ou de l’Association européenne de libre-échange), il y réside au bénéfice d’une autorisation de séjour valable. b. Or, il est établi qu’il n’est en l’état pas au bénéfice d’une autorisation de séjour valable dans le canton de Genève. Le recourant l’admet lui-même, de même qu’il admet que cela fait obstacle en l’état à l’obtention de prestations complémentaires, qu’il dit avoir requises pour sauvegarder ses droits. La mesure provisionnelle du Tribunal administratif de première instance l’autorisant à séjourner provisoirement en Suisse ne lui fait pas remplir la condition d’être au bénéfice d’une autorisation de séjour valable conditionnant le droit à des prestations complémentaires (dont – sied-il de relever par référence à l’ATF 118 V 79 consid. 5 – le financement n’intervient pas par le biais de cotisations sociales et l’obtention n’et donc pas le corollaire d’une obligation de cotiser). Il appert que si les PCF et PCC étaient versées au recourant au bénéfice de cette mesure provisionnelle, la prétention qu’aurait le SPC à en réclamer la restitution si le recourant n’obtenait pas finalement gain de cause risquerait très vraisemblablement de rester purement théorique. C’est donc à bon droit que l’intimé, en l’état, a refusé d’octroyer des PCF et des PCC au recourant. c. Aussi la chambre de céans rejettera-t-elle le présent recours, dont rien ne justifie de suspendre l’instruction. Si le recourant obtient une autorisation de séjour dans le canton de Genève au terme de la procédure administrative en cours, il lui sera loisible de faire état de cette modification à l’appui d’une nouvelle demande de prestations complémentaires, dont il n’appartient pas à la chambre de céans de dire, dans le cadre du présent recours, si elle pourra avoir un effet rétroactif à la date à laquelle rétroagira le cas échéant son autorisation de séjour.</w:t>
      </w:r>
    </w:p>
    <w:p>
      <w:r>
        <w:rPr>
          <w:b/>
        </w:rPr>
        <w:t>E. 4</w:t>
      </w:r>
    </w:p>
    <w:p>
      <w:r>
        <w:t>La procédure est gratuite (art. 61 let. a LPGA ; art. 89H al. 1 LPA). Vu l’issue donnée au recours, il ne sera pas alloué d’indemnité de procédure (art. 61 let. g LPGA ; art. 89H al. 3 LPA).</w:t>
      </w:r>
    </w:p>
    <w:p>
      <w:r>
        <w:t>A/2334/2016 - 6/6 -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