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ATAS/76/2015 vom 3. Februar 2015</w:t>
      </w:r>
    </w:p>
    <w:p>
      <w:r>
        <w:t>GE Cour de justice, 2015-02-03, FR</w:t>
      </w:r>
    </w:p>
    <w:p>
      <w:r>
        <w:rPr>
          <w:b/>
        </w:rPr>
        <w:t xml:space="preserve">Quelle: </w:t>
      </w:r>
      <w:r>
        <w:t>https://mcp.opencaselaw.ch/entscheid/ge_gerichte_ATAS_76_2015</w:t>
      </w:r>
    </w:p>
    <w:p>
      <w:r>
        <w:t>FR: GE_GERICHTE ATAS/76/2015 du 3 février 2015</w:t>
      </w:r>
    </w:p>
    <w:p>
      <w:r>
        <w:t>IT: GE_GERICHTE ATAS/76/2015 del 3 febbraio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A/10/2014 - 9/14 - entrée en vigueur (ATF 117 V 93 consid. 6b; ATF 112 V 360 consid. 4a; RAMA 1998 KV 37 p. 316 consid. 3b). b. En l'espèce, la décision litigieuse du 14 novembre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Le délai de recours est de 30 jours (art. 60 al. 1 LPGA). Le recours, interjeté dans la forme prévue par la loi et déposé le 3 janvier 2014 contre la décision du 14 novembre 2013, reçue le 18 novembre 2013, est recevable compte tenu de la suspension du délai de recours du 18 décembre 2013 au 2 janvier 2014 inclusivement (art. 38 al. 4 let. c et 56 ss LPGA).</w:t>
      </w:r>
    </w:p>
    <w:p>
      <w:r>
        <w:rPr>
          <w:b/>
        </w:rPr>
        <w:t>E. 4</w:t>
      </w:r>
    </w:p>
    <w:p>
      <w:r>
        <w:t>Le litige porte sur la question de savoir si le recourant a droit à des prestations d'invalidité en raison de ses atteintes à la santé.</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I.786/04 du 19 janvier 2006 consid. 3.1). b. En vertu de l'art. 28 al. 2 LAI, l'assuré a droit à une rente entière s'il est invalide à 70 % au moins, à un trois-quart de rente s'il est invalide à 60 % au moins, à une demi-rente s'il est invalide à 50 % au moins, ou à un quart de rente s'il est invalide à 40 % au moins (art. 28 al. 2 LAI).</w:t>
      </w:r>
    </w:p>
    <w:p>
      <w:r>
        <w:t>A/10/2014 - 10/14 -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A/10/2014 - 11/14 -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7</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A/10/2014 - 12/14 -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l'intimé a retenu, dans sa décision litigieuse, que compte tenu de l’arthrose sévère du poignet bilatérale dont souffre le recourant, ce dernier est en incapacité de travail totale dans son activité habituelle, mais que sa capacité de travail est totale dans une activité adaptée, ce que conteste le recourant en se fondant sur les rapports des Drs D______ et H______. b. Suite à l’instruction diligentée par la chambre de céans et à la lecture des pièces versées à la procédure, la chambre de céans est d'avis que l'ensemble des atteintes à la santé dont souffre le recourant – hormis l’arthrose sévère bilatérale du poignet, le canal carpien des deux mains et le cancer des cordes vocales – n'a pas fait l'objet d'une instruction médicale. En effet, force est de constater que tant le Dr D______ que le Dr H______ ont fait état du fait que le recourant souffrirait de pertes de mémoire, d'insomnies et d'anxiété (rapports des 28 mars et 16 décembre 2014 du Dr D______, rapport du 22 mai 2014 du Dr H______). À ces troubles s'ajoutent également des vertiges, lesquels seraient un symptôme d'un trouble mixte anxio-dépressif sévère selon le Dr D______ (rapport du 16 décembre 2014). Selon le Dr H______, le recourant présenterait également une ronchopathie associée à des apnées, élément évocateur d'un syndrome d'apnées du sommeil (rapport du 22 mai 2014). L'intimé, en se référant à l'avis du SMR du 15 janvier 2015, fait valoir qu'il s'agit d'éléments cliniques apportés au dossier postérieurement à la décision litigieuse, de sorte qu'ils ne sauraient être pris en compte pour en apprécier la légalité. La chambre de céans relèvera que si les rapports précités ont certes été établis postérieurement à la décision litigieuse, ce fait ne suffit toutefois pas encore à écarter les constats du médecin-traitant et du Dr H______, et ce pour les raisons qui suivent. Le Dr H______, qui a vu le recourant le 9 avril 2014, a expliqué que l'épouse du recourant avait constaté des difficultés de mémoire de son mari depuis environ un an. Ce médecin a en outre noté que le recourant souffrait d'une claire déprivation de sommeil depuis deux à trois ans (rapport du 22 mai 2014). Par ailleurs, dans sa demande de prestations datée du 25 mai 2013, le recourant a mentionné souffrir de vertiges. Or, il résulte de l'instruction menée par la chambre de céans que ces vertiges seraient un des symptômes du trouble anxio-dépressif sévère dont souffre le recourant (rapport du Dr D______ du 16 décembre 2014). Qui plus est, il apparaît que le Dr D______ avait, dans un courrier du 25 mai 2013 – qui n'a toutefois pas été versé à la procédure – déjà spécifié l'existence d'un état dépressif, accompagné d'insomnies, tristesse et angoisse (rapport du Dr D______ du 16 décembre 2014).</w:t>
      </w:r>
    </w:p>
    <w:p>
      <w:r>
        <w:t>A/10/2014 - 13/14 - Pour l'ensemble de ces motifs, la chambre de céans est d'avis que l'on ne saurait écarter les pertes de mémoire, les insomnies, l'anxiété et la ronchopathie associée à des apnées évoquées par le médecin traitant et par le Dr H______, dès lors que plusieurs éléments au dossier permettent de retenir que ces troubles existaient déjà au moment de la décision litigieuse du 14 novembre 2013. Cela étant, la chambre de céans ne saurait retenir, sans autre instruction, le diagnostic psychique posé par le Dr D______, puisque ce médecin n'est pas spécialisé en psychiatrie. Qui plus est, il apparaît que des examens pneumologiques étaient nécessaires pour évaluer l'importance d'un éventuel syndrome d'apnées du sommeil (rapport du 22 mai 2014 du Dr H______), examens qui n’ont pas eu lieu.</w:t>
      </w:r>
    </w:p>
    <w:p>
      <w:r>
        <w:rPr>
          <w:b/>
        </w:rPr>
        <w:t>E. 10</w:t>
      </w:r>
    </w:p>
    <w:p>
      <w:r>
        <w:t>Compte tenu de l'ensemble de ces éléments, la chambre de céans n'est pas en mesure de statuer en l'état actuel du dossier, dès lors que celui-ci ne contient pas les éléments suffisants et probants permettant une appréciation adéquate de l'ensemble des atteintes à la santé dont souffre le recourant, leurs éventuelles limitations fonctionnelles et répercussions sur sa capacité de travail, et partant, sur son degré d’invalidité. Il convient dès lors de renvoyer la cause à l'intimé afin qu'il ordonne un complément d'instruction sous la forme d'une expertise médicale indépendante auprès notamment d'un spécialiste en pneumologie et d'un spécialiste en psychiatrie. Les conditions jurisprudentielles d’un tel renvoi sont d’autant plus remplies qu'aucune expertise n'a été réalisée par l’intimé. En cas de nécessité, un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nouvelle décision.</w:t>
      </w:r>
    </w:p>
    <w:p>
      <w:r>
        <w:rPr>
          <w:b/>
        </w:rPr>
        <w:t>E. 11</w:t>
      </w:r>
    </w:p>
    <w:p>
      <w:r>
        <w:t>Vu ce qui précède, le recours sera admis, la décision querellée annulée et la cause renvoyée à l'autorité administrative afin qu'elle procède conformément aux considérants.</w:t>
      </w:r>
    </w:p>
    <w:p>
      <w:r>
        <w:rPr>
          <w:b/>
        </w:rPr>
        <w:t>E. 12</w:t>
      </w:r>
    </w:p>
    <w:p>
      <w:r>
        <w:t>Le recourant, qui est représenté et qui obtient gain de cause, a droit à une indemnité de CHF 2'000.- à titre de participation à ses frais et dépens (art. 61 let. g LPGA et 89H al. 3 de la loi sur la procédure administrative du 12 septembre 1985 – LPA - E 5 10).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A/10/2014 - 14/14 -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