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ATAS/76/2012 vom 31. Januar 2012</w:t>
      </w:r>
    </w:p>
    <w:p>
      <w:r>
        <w:t>GE Cour de justice, 2012-01-31, FR</w:t>
      </w:r>
    </w:p>
    <w:p>
      <w:r>
        <w:rPr>
          <w:b/>
        </w:rPr>
        <w:t xml:space="preserve">Quelle: </w:t>
      </w:r>
      <w:r>
        <w:t>https://mcp.opencaselaw.ch/entscheid/ge_gerichte_ATAS_76_2012</w:t>
      </w:r>
    </w:p>
    <w:p>
      <w:r>
        <w:t>FR: GE_GERICHTE ATAS/76/2012 du 31 janvier 2012</w:t>
      </w:r>
    </w:p>
    <w:p>
      <w:r>
        <w:t>IT: GE_GERICHTE ATAS/76/2012 del 31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l'assuré n'entend pas recourir contre la décision du 21 novembre 2011.</w:t>
      </w:r>
    </w:p>
    <w:p>
      <w:r>
        <w:rPr>
          <w:b/>
        </w:rPr>
        <w:t>E. 2</w:t>
      </w:r>
    </w:p>
    <w:p>
      <w:r>
        <w:t>Prend acte de ce qu'une nouvelle décision sera tout prochainement rendue par le SPC.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