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ATAS/769/2015 vom 8. Oktober 2015</w:t>
      </w:r>
    </w:p>
    <w:p>
      <w:r>
        <w:t>GE Cour de justice, 2015-10-08, FR</w:t>
      </w:r>
    </w:p>
    <w:p>
      <w:r>
        <w:rPr>
          <w:b/>
        </w:rPr>
        <w:t xml:space="preserve">Quelle: </w:t>
      </w:r>
      <w:r>
        <w:t>https://mcp.opencaselaw.ch/entscheid/ge_gerichte_ATAS_769_2015</w:t>
      </w:r>
    </w:p>
    <w:p>
      <w:r>
        <w:t>FR: GE_GERICHTE ATAS/769/2015 du 8 octobre 2015</w:t>
      </w:r>
    </w:p>
    <w:p>
      <w:r>
        <w:t>IT: GE_GERICHTE ATAS/769/2015 del 8 ottobre 2015</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le bien-fondé du rejet par l’intimé de la demande de remise de l’obligation de restituer les prestations complémentaires accordées à tort du 1er septembre 2001 au 31 juillet 2011.</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w:t>
      </w:r>
    </w:p>
    <w:p>
      <w:r>
        <w:t>A/1501/2013 - 8/12 - prestation. Si la créance naît d’un acte punissable pour lequel le droit pénal prévoit un délai de prescription plus long, celui-ci est déterminant (al. 2). La remise de l'obligation de restituer est donc soumise à deux conditions cumulatives : la bonne foi de l'assuré et sa situation financière difficile. b.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w:t>
      </w:r>
    </w:p>
    <w:p>
      <w:r>
        <w:t>A/1501/2013 - 9/12 - consid. 4.3 ;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w:t>
      </w:r>
    </w:p>
    <w:p>
      <w:r>
        <w:rPr>
          <w:b/>
        </w:rPr>
        <w:t>E. 6</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a. En l’espèce, l'intimé soutient que la remise de l'obligation de restituer ne peut être accordée, dès lors que la condition de la bonne foi n’est pas remplie, ce que le recourant conteste, en alléguant n’avoir jamais caché la rente « dérisoire » perçue par son épouse en France, ni le modeste immeuble lui appartenant, dont il fait remarquer qu’il a toujours été mentionné dans leurs déclarations fiscales. Il ajoute</w:t>
      </w:r>
    </w:p>
    <w:p>
      <w:r>
        <w:t>A/1501/2013 - 10/12 - que, dans la mesure où il est marié sous le régime de la séparation de biens, son épouse n’est pas partie à la procédure ; on ne saurait dès lors exiger de lui qu’il la « contraigne » à vendre son immeuble. b. Préalablement, il sied de relever qu’après avoir sollicité du SPC des renseignements au sujet de sa décision de restitution du 11 novembre 2011, le recourant a renoncé à recourir contre celle-ci et a déposé une demande de remise le 15 décembre 2011, en invoquant sa bonne foi et son incapacité à rembourser le montant de CHF 24'448.-. En l’absence de recours, la décision de restitution est entrée en force. Partant, il n’y a pas lieu de revenir sur ses calculs. c. S’agissant de la remise, la Chambre de céans constate que ce n’est que lors de la révision périodique initiée en juillet 2010 que l’assuré a produit, à la demande du SPC, un justificatif démontrant que son épouse percevait une rente mensuelle française de retraite de € 76.12, accordée le 1er juin 2000 selon le justificatif produit ultérieurement. Force est ainsi d’admettre que le recourant a violé son obligation d’annoncer le versement de cette rente, alors même qu’il recevait chaque année les informations générales transmises par le SPC aux assurés, rappelant à ceux-ci leur devoir de signaler tout changement de situation économique, notamment l'octroi d'une rente étrangère. C’est également lors la procédure de révision de 2010 que l’intimé a découvert que la dette hypothécaire grevant la maison de l’épouse du recourant avait été remboursée depuis de nombreuses années, ce que corroborent tant les déclarations de la fille de l’intéressé que le tableau d’amortissement du Crédit agricole - planifiant un remboursement total de la dette en août 2003 - ou encore l’extrait du compte BNP PARIBAS, à partir duquel les charges de l’immeuble sont payées. Le recourant se défend d’avoir voulu dissimuler la rente « dérisoire » de son épouse ou l’existence du bien immobilier. S’agissant de la rente française perçue par son épouse, il ne lui appartenait pas de juger de l’opportunité de l’annoncer. Au demeurant, elle ne saurait être qualifiée de dérisoire dans la mesure où elle atteint tout de même environ CHF 1'200.- par année et où, en omettant de l’annoncer, le couple a bénéficié de prestations indues pendant onze ans. Pour le reste, il n’est pas reproché au recourant d’avoir « caché » l’immeuble de son épouse mais d’avoir omis d’annoncer à l’intimé que la dette hypothécaire avait été remboursée. Le fait que le recourant ait déclaré cet immeuble aux autorités fiscales ne le dispensait pas de son obligation de renseigner le SPC à cet égard, d’autant que les décisions de taxations ne mentionnaient aucune dette hypothécaire (arrêt du Tribunal fédéral 8C_954/2008, consid. 7.3). C’est le lieu de rappeler que l'obligation de renseigner de l'assuré ne se limite pas au devoir d’annoncer ses revenus et leurs modifications, mais qu’elle comprend aussi celui de vérifier que les montants figurant dans les décisions et plans de calculs correspondent à la réalité et de signaler à l'autorité toute erreur. Cette obligation est</w:t>
      </w:r>
    </w:p>
    <w:p>
      <w:r>
        <w:t>A/1501/2013 - 11/12 - rappelée chaque année aux assurés dans un courrier intitulé "communication importante". La jurisprudence du Tribunal fédéral est stricte et retient qu’à défaut, l’assuré fait preuve de négligence grave. Dans le cas d’espèce, en faisant preuve de l'attention que l'on pouvait exiger de lui, le recourant aurait pu et dû vérifier les montants figurant dans la décision de juillet 2000 et informer le SPC que la rente française n’y figurait pas. Peu importait le montant de celle-ci. Par la suite, il aurait dû vérifier les décisions subséquentes et annoncer au SPC que la dette hypothécaire grevant l’immeuble de son épouse ne correspondait plus au montant retenu de CHF 57'068.-. Cette vérification s’imposait lors de la notification de chaque décision de prestations. Si l’assuré n’était pas en mesure d’effectuer ces contrôles, il lui était loisible de solliciter l’aide de son mandataire ou de sa fille. En omettant de vérifier les décisions reçues et en ne signalant pas que les montants pris en compte étaient erronés, alors même que les communications annuelles du SPC l’y invitaient, l’intéressé a commis une négligence grave, d’autant qu’une simple lecture des feuilles de calcul lui permettait de déceler que la rente française n’avait pas été prise en compte et que la dette hypothécaire retenue ne correspondait plus à la réalité. S’agissant enfin de l’argumentation du recourant relative à son mariage sous le régime de la séparation de biens, elle est dénuée de pertinence dans le cadre d’une demande de remise et, contrairement à ce que laisse entendre l’intéressé, la décision litigieuse ne le contraint ni lui, ni son épouse, à réaliser un quelconque bien immobilier. La condition de la bonne foi n'étant pas réalisée, il n’y a pas lieu d'examiner celle de la situation financière difficile. C'est donc à juste titre que le SPC a refusé la demande de remise.</w:t>
      </w:r>
    </w:p>
    <w:p>
      <w:r>
        <w:rPr>
          <w:b/>
        </w:rPr>
        <w:t>E. 8</w:t>
      </w:r>
    </w:p>
    <w:p>
      <w:r>
        <w:t>Mal fondé, le recours doit être rejeté.</w:t>
      </w:r>
    </w:p>
    <w:p>
      <w:r>
        <w:t>A/1501/2013 - 12/12 -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