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ATAS/768/2025 vom 2. Oktober 2025</w:t>
      </w:r>
    </w:p>
    <w:p>
      <w:r>
        <w:t>GE Cour de justice, 2025-10-02, FR</w:t>
      </w:r>
    </w:p>
    <w:p>
      <w:r>
        <w:rPr>
          <w:b/>
        </w:rPr>
        <w:t xml:space="preserve">Quelle: </w:t>
      </w:r>
      <w:r>
        <w:t>https://mcp.opencaselaw.ch/entscheid/ge_gerichte_ATAS_768_2025</w:t>
      </w:r>
    </w:p>
    <w:p>
      <w:r>
        <w:t>FR: GE_GERICHTE ATAS/768/2025 du 2 octobre 2025</w:t>
      </w:r>
    </w:p>
    <w:p>
      <w:r>
        <w:t>IT: GE_GERICHTE ATAS/768/2025 del 2 ottobre 2025</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ancien art. 142 du Code civil du 10 décembre 1907 [CC - RS 210]).</w:t>
      </w:r>
    </w:p>
    <w:p>
      <w:r>
        <w:t>A/3985/2024 - 6/11 -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w:t>
      </w:r>
    </w:p>
    <w:p>
      <w:r>
        <w:rPr>
          <w:b/>
        </w:rPr>
        <w:t>E. 3.1</w:t>
      </w:r>
    </w:p>
    <w:p>
      <w:r>
        <w:t>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w:t>
      </w:r>
    </w:p>
    <w:p>
      <w:r>
        <w:rPr>
          <w:b/>
        </w:rPr>
        <w:t>E. 3.2</w:t>
      </w:r>
    </w:p>
    <w:p>
      <w:r>
        <w:t>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w:t>
      </w:r>
    </w:p>
    <w:p>
      <w:r>
        <w:rPr>
          <w:b/>
        </w:rPr>
        <w:t>E. 3.3</w:t>
      </w:r>
    </w:p>
    <w:p>
      <w:r>
        <w:t>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 paiement des intérêts moratoires (art. 105 al. 3 CO ; RSAS 2003 p. 500 consid. 6.1).</w:t>
      </w:r>
    </w:p>
    <w:p>
      <w:r>
        <w:t>A/3985/2024 - 7/11 -</w:t>
      </w:r>
    </w:p>
    <w:p>
      <w:r>
        <w:rPr>
          <w:b/>
        </w:rPr>
        <w:t>E. 3.4</w:t>
      </w:r>
    </w:p>
    <w:p>
      <w:r>
        <w:t>Selon la doctrine, le solde reconnu du compte courant étant une créance nouvelle issue de la novation, convenue par avance, il est le fruit d’une convention qui ne peut être anéantie ou modifiée qu’aux conditions des art. 21 (lésion) et 23ss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w:t>
      </w:r>
    </w:p>
    <w:p>
      <w:r>
        <w:rPr>
          <w:b/>
        </w:rPr>
        <w:t>E. 3.5</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w:t>
      </w:r>
    </w:p>
    <w:p>
      <w:r>
        <w:rPr>
          <w:b/>
        </w:rPr>
        <w:t>E. 3.6</w:t>
      </w:r>
    </w:p>
    <w:p>
      <w:r>
        <w:t>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w:t>
      </w:r>
    </w:p>
    <w:p>
      <w:r>
        <w:rPr>
          <w:b/>
        </w:rPr>
        <w:t>E. 7</w:t>
      </w:r>
    </w:p>
    <w:p>
      <w:r>
        <w:t>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(ATAS/1055/2021 précité consid. 16c ; JdT 1974 III 32). Il n'y a donc effectivement pas lieu de prononcer la mainlevée définitive pour les frais du commandement de payer, dont le sort suit celui de la</w:t>
      </w:r>
    </w:p>
    <w:p>
      <w:r>
        <w:t>A/3985/2024 - 8/11 -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w:t>
      </w:r>
    </w:p>
    <w:p>
      <w:r>
        <w:rPr>
          <w:b/>
        </w:rPr>
        <w:t>E. 11</w:t>
      </w:r>
    </w:p>
    <w:p>
      <w:r>
        <w:t>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5.</w:t>
      </w:r>
    </w:p>
    <w:p>
      <w:r>
        <w:t>5.1 En l'espèce, la Cour de céans tient pour établi qu'en sa qualité d'employeur occupant des salariés, la défenderesse devait obligatoirement être affiliée à une caisse de prévoyance professionnelle, ce qui, du reste, n'est pas contesté. 5.2 Il ressort de l'ensemble des pièces produites par la demanderesse que la défenderesse est demeurée débitrice à son encontre d'un montant de CHF 15'840.15, correspondant aux cotisations des employés dues à la demanderesse. En outre, la simple passivité de la débitrice, celle-ci n'ayant réagi</w:t>
      </w:r>
    </w:p>
    <w:p>
      <w:r>
        <w:t>A/3985/2024 - 9/11 - ni aux sommations de la fondation, ni à celles de la Cour de céans, ne saurait empêcher la fondation d'engager et de continuer des procédures de recouvrement afin d'obtenir la reconnaissance de ses droits (ATA J. du 5 septembre 1995). 5.3 En l’espèce, la demande a été formée dans le délai de prescription de cinq ans. Le commandement de payer a été notifié à la défenderesse le 5 décembre 2023, date à laquelle le délai de péremption d’un an de l’art. 88 al. 2 LPP a commencé à courir. Par conséquent, celui-ci n’était pas atteint lorsque la demanderesse a saisi la Cour de céans, le 19 novembre 2024, ce délai ne courant par ailleurs pas durant la procédure judiciaire, vu l'opposition de la société. 5.4 Le règlement pour frais de gestion émis par la demanderesse prévoit en son article 4 le montant des frais dus en cas de mise en demeure (CHF 100.-), de réquisition de poursuite pour un montant supérieur à CHF 10'000.- (CHF 600.-), et le fait que les émoluments des offices de poursuites et faillites soient imputés en plus. En son article 6, le même règlement prévoit des frais de CHF 700.- en cas de résiliation partielle ou totale du contrat d’adhésion. Il prévoit enfin CHF 1'500.- de frais en cas d’action en reconnaissance de dette (art. 4). En l’espèce, le solde en faveur de la fondation de CHF 15'840.15, selon le décompte final du 21 septembre 2023, comprend les cotisations dues jusqu’au 31 juillet 2020 – date de prise d’effet de la résiliation de l’affiliation, ainsi que les frais de gestion, les frais de rappel et les frais de résiliation. B______ admet n’avoir aucun argument pour contester les montants des cotisations 2020. Cela étant, la demanderesse a examiné l’attestation AVS 2020 produite, et constaté que cela n’entraînait pas de différence majeure : il n’y avait eu que deux modifications concernant les employés D______ (qui avait quitté la société le 31 décembre 2019) et H______ (qui y était entré en 2020). S’agissant des deux autres employés occupés par la société, il ne pouvait procéder a posteriori à une rectification, leurs avoirs de libre passage ayant d’ores et déjà été transférés vers leur nouvelle caisse de pension. Cela étant, les modifications ne revêtaient pas une grande importance, ces deux employés ayant quitté la société deux mois avant la période de référence. La défenderesse, par le biais de B______, se contente d’alléguer que les explications fournies par la demanderesse seraient « peu convaincantes », sans pour autant avancer de grief pertinent. Elle s’insurge que la demanderesse ait facturé, en date du 30 septembre 2020, un montant de CHF 3'110.10, et, en date du 19 octobre 2020, un montant de CHF 1'036.50, pour une relation contractuelle résiliée avec effet au 31 juillet 2020. À cet égard, la demanderesse a expliqué qu’elle n’avait pas procédé à une facturation en date du 30 septembre 2020, mais que cette date correspondait au délai de paiement. La facture, de CHF 3'110.10, datait en réalité du 3 juillet 2020 et concernait les cotisations jusqu’au 30 juin 2020 (2ème facture trimestrielle de l’année 2020), avec un délai de paiement au 30 septembre 2020 (annexe 9.3).</w:t>
      </w:r>
    </w:p>
    <w:p>
      <w:r>
        <w:t>A/3985/2024 - 10/11 - Figurent sur le décompte comptable les dates du délai de paiement et non les dates de facturation. De même, la facture de CHF 1'036.50 correspond à la dernière facture jusqu’à la résiliation du contrat. Elle ne date pas du 19 octobre 2020, mais concerne la période du 1er au 31 juillet 2020. Pour le surplus, s’agissant de son décompte du 20 février 2025, la demanderesse a expliqué que le solde dû à la fin de l’année 2018 était de CHF 1'650.40. Les paiements effectués en 2019 par la défenderesse (soit CHF 1'650.40 le 3 janvier 2019 et CHF 1'616.70 le 6 mai 2019) ont été attribués aux cotisations dues pour 2018 (y compris celles de l’employé G______, facturées rétroactivement). La défenderesse n’ayant fait valoir aucun élément permettant de faire apparaître la demande de mainlevée comme contestable, il y a lieu d'admettre celle-ci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w:t>
      </w:r>
    </w:p>
    <w:p>
      <w:r>
        <w:t>***</w:t>
      </w:r>
    </w:p>
    <w:p>
      <w:r>
        <w:t>A/3985/2024 - 11/11 -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