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ATAS/767/2012 vom 5. Juni 2012</w:t>
      </w:r>
    </w:p>
    <w:p>
      <w:r>
        <w:t>GE Cour de justice, 2012-06-05, FR</w:t>
      </w:r>
    </w:p>
    <w:p>
      <w:r>
        <w:rPr>
          <w:b/>
        </w:rPr>
        <w:t xml:space="preserve">Quelle: </w:t>
      </w:r>
      <w:r>
        <w:t>https://mcp.opencaselaw.ch/entscheid/ge_gerichte_ATAS_767_2012</w:t>
      </w:r>
    </w:p>
    <w:p>
      <w:r>
        <w:t>FR: GE_GERICHTE ATAS/767/2012 du 5 juin 2012</w:t>
      </w:r>
    </w:p>
    <w:p>
      <w:r>
        <w:t>IT: GE_GERICHTE ATAS/767/2012 del 5 giugno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w:t>
      </w:r>
    </w:p>
    <w:p>
      <w:r>
        <w:t>A/981/2012 - 8/16 -</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du recourant à des prestations de l'assurance-invalidité.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w:t>
      </w:r>
    </w:p>
    <w:p>
      <w:r>
        <w:t>A/981/2012 - 9/16 -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135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w:t>
      </w:r>
    </w:p>
    <w:p>
      <w:r>
        <w:t>A/981/2012 - 10/16 -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rPr>
          <w:b/>
        </w:rPr>
        <w:t>E. 9</w:t>
      </w:r>
    </w:p>
    <w:p>
      <w:r>
        <w:t>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w:t>
      </w:r>
    </w:p>
    <w:p>
      <w:r>
        <w:rPr>
          <w:b/>
        </w:rPr>
        <w:t>E. 12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A/981/2012 - 12/16 -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13</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w:t>
      </w:r>
    </w:p>
    <w:p>
      <w:r>
        <w:t>A/981/2012 - 13/16 -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15</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w:t>
      </w:r>
    </w:p>
    <w:p>
      <w:r>
        <w:rPr>
          <w:b/>
        </w:rPr>
        <w:t>E. 19</w:t>
      </w:r>
    </w:p>
    <w:p>
      <w:r>
        <w:t>En ce qui concerne enfin le rapport du médecin traitant du 22 mars 2012, attestant que le recourant se trouve dans l'impossibilité de travailler à plus de 50% à compter du 1er mars 2012, il concerne visiblement une période postérieure à la décision entreprise. Dans cette mesure, si le recourant estime que son état de santé s'est modifié dans une mesure notable, justifiant la révision de son droit à une rente, il lui appartient de formuler une nouvelle demande en ce sens auprès de l'OAI (art. 17 LPGA).</w:t>
      </w:r>
    </w:p>
    <w:p>
      <w:r>
        <w:rPr>
          <w:b/>
        </w:rPr>
        <w:t>E. 20</w:t>
      </w:r>
    </w:p>
    <w:p>
      <w:r>
        <w:t>Au vu de ce qui précède, le recours sera rejeté et la décision attaquée confirmée.</w:t>
      </w:r>
    </w:p>
    <w:p>
      <w:r>
        <w:rPr>
          <w:b/>
        </w:rPr>
        <w:t>E. 21</w:t>
      </w:r>
    </w:p>
    <w:p>
      <w:r>
        <w:t>Étant donné que depuis le 1er juillet 2006, la procédure n'est plus gratuite (art. 69 al. 1bis LAI), il y a lieu de condamner le recourant au paiement d'un émolument de 200 fr.</w:t>
      </w:r>
    </w:p>
    <w:p>
      <w:r>
        <w:t>A/981/2012 - 16/16 -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