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ATAS/766/2024 vom 8. Oktober 2024</w:t>
      </w:r>
    </w:p>
    <w:p>
      <w:r>
        <w:t>GE Cour de justice, 2024-10-08, FR</w:t>
      </w:r>
    </w:p>
    <w:p>
      <w:r>
        <w:rPr>
          <w:b/>
        </w:rPr>
        <w:t xml:space="preserve">Quelle: </w:t>
      </w:r>
      <w:r>
        <w:t>https://mcp.opencaselaw.ch/entscheid/ge_gerichte_ATAS_766_2024</w:t>
      </w:r>
    </w:p>
    <w:p>
      <w:r>
        <w:t>FR: GE_GERICHTE ATAS/766/2024 du 8 octobre 2024</w:t>
      </w:r>
    </w:p>
    <w:p>
      <w:r>
        <w:t>IT: GE_GERICHTE ATAS/766/2024 del 8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Par renvoi de l’art. 1 al. 1 LAI, les dispositions de la LPGA s'appliquent à l'assurance-invalidité, à moins que la loi n'y déroge expressément.</w:t>
      </w:r>
    </w:p>
    <w:p>
      <w:r>
        <w:rPr>
          <w:b/>
        </w:rPr>
        <w:t>E. 2.2</w:t>
      </w:r>
    </w:p>
    <w:p>
      <w:r>
        <w:t>Le 1er janvier 2022, les modifications de la LAI du 19 juin 2020 et du règlement sur l’assurance-invalidité du 17 janvier 1961 (RAI ‑ RS 831.201) du</w:t>
      </w:r>
    </w:p>
    <w:p>
      <w:r>
        <w:rPr>
          <w:b/>
        </w:rPr>
        <w:t>E. 3</w:t>
      </w:r>
    </w:p>
    <w:p>
      <w:r>
        <w:t>novembre 2021 sont entrées en vigueur (développement continu de l’AI ; RO 2021 705 et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litigieuse porte sur la demande de prise en charge des moyens auxiliaires déposée postérieurement au 1er janvier 2022, de sorte que les dispositions légales et réglementaires seront citées dans leur nouvelle teneur.</w:t>
      </w:r>
    </w:p>
    <w:p>
      <w:r>
        <w:t>A/1683/2024 - 6/11 -</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3.2</w:t>
      </w:r>
    </w:p>
    <w:p>
      <w:r>
        <w:t>En l’espèce, la décision litigieuse porte sur le droit du recourant au renouvellement de sa coque d’assise et du dossier moulé, ainsi que sur la demande d’un système d’appui-tête, étant rappelé que la demande relative au renouvellement du son fauteuil roulant manuel Quickie Iris a été acceptée par communication du 11 mars 2024. Il ressort de l’acte de recours qu’une demande parallèle sera déposée pour l’appui-tête et que la coque d’assise, si elle n’est pas en « parfait état », demeure effectivement adaptée et n’est pas considérée comme une « priorité ». Est donc seule litigieuse la question de la prise en charge du renouvellement du dossier moulé.</w:t>
      </w:r>
    </w:p>
    <w:p>
      <w:r>
        <w:rPr>
          <w:b/>
        </w:rPr>
        <w:t>E. 4</w:t>
      </w:r>
    </w:p>
    <w:p>
      <w:r>
        <w:t>Selon l’art. 8 LAI, les assurés invalides ou menacés d’une invalidité ont droit à des mesures de réadaptation pour autant (al. 1) : que ces mesures soient nécessaires et de nature à rétablir, maintenir ou améliorer leur capacité de gain ou leur capacité d’accomplir leurs travaux habituels (let. a) ; que les conditions d’octroi des différentes mesures soient remplies (let. b). Le droit aux mesures de réadaptation n’est pas lié à l’exercice d’une activité lucrative préalable. La détermination des mesures tient notamment compte (al. 1bis) : de l’âge de l’assuré (let. a) ; de son niveau de développement (let. b) ; de ses aptitudes (let. c) ; de la durée probable de la vie active (let. d).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w:t>
      </w:r>
    </w:p>
    <w:p>
      <w:r>
        <w:t>A/1683/2024 - 7/11 -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À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Le ch. 9 de l’annexe concerne les fauteuils roulants et prévoit un remboursement selon la convention tarifaire avec la Fédération des associations suisses du commerce et de l’industrie de la technologie médicale (FASMED) et l’ASTO. Conformément à l’art. 7 al. 2 OMAI, l’assurance assume, à défaut d’un tiers responsable, les frais de réparation, d’adaptation ou de remplacement partiel nécessaires en dépit de l’usage soigneux du moyen auxiliaire. L’assuré peut être tenu de participer aux frais. Le montant de la participation est fixé en annexe.</w:t>
      </w:r>
    </w:p>
    <w:p>
      <w:r>
        <w:t>A/1683/2024 - 8/11 -</w:t>
      </w:r>
    </w:p>
    <w:p>
      <w:r>
        <w:rPr>
          <w:b/>
        </w:rPr>
        <w:t>E. 4.1</w:t>
      </w:r>
    </w:p>
    <w:p>
      <w:r>
        <w:t>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L’assurance fournit des moyens auxiliaires simples, adéquats et économiques. Seuls entrent en considération des moyens auxiliaires présentant un rapport qualité-prix optimal. L’assuré n’a pas droit à l’équipement qui serait optimal dans son cas particulier (Circulaire concernant la remise de moyens auxiliaires par l’assurance-invalidité [CMAI] de l’Office fédéral des assurances sociales, valable dès le 1er janvier 2013, état au 1er janvier 2024, ch. 1004 ; cf. arrêt du Tribunal fédéral 9C_640/2015 du 6 juillet 2016 consid. 2.3 et les références).</w:t>
      </w:r>
    </w:p>
    <w:p>
      <w:r>
        <w:rPr>
          <w:b/>
        </w:rPr>
        <w:t>E. 4.2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w:t>
      </w:r>
    </w:p>
    <w:p>
      <w:r>
        <w:t>A/1683/2024 - 9/11 - d'une rente ou au reclassement dans une profession entièrement nouvelle. Selon les circonstances, le déplacement ou le maintien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134 I 105 consid. 8.2 ; 113 V 22 consid. 4d ; arrêt du Tribunal fédéral 9C_439/2012 du 1er novembre 2012 consid. 3.2 et les références citées). 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 8 al. 1 LAI ; ATF 134 I 105 consid. 3 et les références).</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janvier 2024 que les renouvellements des moyens auxiliaires étaient motivés par une aggravation depuis 2019 de son tonus postural, de l’effondrement latéral gauche et de l’hypotonie de la tête, plus marqués que précédemment. Cette péjoration est en outre attestée par le fait que la précédente demande de renouvellement, soit celle du 1er octobre 2018, n’indiquait pas qu’il était impossible pour le recourant de relever le tronc et très difficile de relever la tête. Il n’était pas non plus fait état d’une position inconfortable pour toutes les activités de la vie quotidienne, notamment pour regarder en face de lui, ni de l’existence d’un risque de fausse route en raison de sa posture. Partant, il ne paraît pas crédible que tant la coque d’assise que le dossier moulé aient été qualifiés d’adaptés par l’ergothérapeute. On ajoutera encore que la demande de renouvellement de moyens auxiliaires du 1er octobre 2018 indique que le dossier anatomique moulé permet le maintien du tronc au plus juste, ce qui explique que le renouvellement de la coque d’assise est encore adapté et ne constitue pas une priorité. D’ailleurs, son précédent changement avait été requis pour des raisons d’hygiène, et non pas pour un motif de positionnement.</w:t>
      </w:r>
    </w:p>
    <w:p>
      <w:r>
        <w:rPr>
          <w:b/>
        </w:rPr>
        <w:t>E. 6</w:t>
      </w:r>
    </w:p>
    <w:p>
      <w:r>
        <w:t>Compte tenu de ce qui précède, l’intimé ne pouvait pas, sur la base du rapport de la FSCMA du 11 mars 2024, refuser la prise en charge de la coque d’assise et du dossier moulé.</w:t>
      </w:r>
    </w:p>
    <w:p>
      <w:r>
        <w:rPr>
          <w:b/>
        </w:rPr>
        <w:t>E. 7</w:t>
      </w:r>
    </w:p>
    <w:p>
      <w:r>
        <w:t>Partant, le recours doit être partiellement admis, la décision litigieuse annulée et la cause renvoyée à l'intimé, afin qu'il complète l'instruction puis rende une nouvelle décision. La procédure de recours en matière de contestation portant sur l'octroi ou le refus de prestations de l'assurance-invalidité étant soumise à des frais de justice, au vu du sort du recours, un émolument de CHF 200.- sera mis à charge de l'intimé (art. 69 al. 1bis LAI).</w:t>
      </w:r>
    </w:p>
    <w:p>
      <w:r>
        <w:t>A/1683/2024 - 11/11 -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