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ATAS/766/2022 vom 29. August 2022</w:t>
      </w:r>
    </w:p>
    <w:p>
      <w:r>
        <w:t>GE Cour de justice, 2022-08-29, FR</w:t>
      </w:r>
    </w:p>
    <w:p>
      <w:r>
        <w:rPr>
          <w:b/>
        </w:rPr>
        <w:t xml:space="preserve">Quelle: </w:t>
      </w:r>
      <w:r>
        <w:t>https://mcp.opencaselaw.ch/entscheid/ge_gerichte_ATAS_766_2022</w:t>
      </w:r>
    </w:p>
    <w:p>
      <w:r>
        <w:t>FR: GE_GERICHTE ATAS/766/2022 du 29 août 2022</w:t>
      </w:r>
    </w:p>
    <w:p>
      <w:r>
        <w:t>IT: GE_GERICHTE ATAS/766/2022 del 29 agosto 2022</w:t>
      </w:r>
    </w:p>
    <w:p>
      <w:pPr>
        <w:pStyle w:val="Heading2"/>
      </w:pPr>
      <w:r>
        <w:t>Erwägungen</w:t>
      </w:r>
    </w:p>
    <w:p>
      <w:r>
        <w:rPr>
          <w:b/>
        </w:rPr>
        <w:t>E. 5</w:t>
      </w:r>
    </w:p>
    <w:p>
      <w:r>
        <w:t>janvier 2010 consid. 4.2.1 in SVR 2010 UV n° 18 p. 69). Pour admettre un lien de causalité naturelle, il n'est pas déterminant que le diagnostic ait été posé dans les six à huit semaines après l’accident, Il est en revanche déterminant qu'on puisse conclure, en se fondant sur les constats médicaux effectués en temps réel, que la personne concernée a présenté, au moins partiellement, des symptômes typiques du SDRC durant la période de latence de six à huit semaines après l'accident (arrêt du Tribunal fédéral 8C_416/2019 du 15 juillet 2020 consid. 5.2.3 et les références citées). La causalité naturelle peut également être admise si le syndrome fait suite à une opération en lien avec l'accident (arrêt du Tribunal fédéral 8C_27/2019 du 20 août 2019 consid. 6.4.2 et les références citées).</w:t>
      </w:r>
    </w:p>
    <w:p>
      <w:r>
        <w:rPr>
          <w:b/>
        </w:rPr>
        <w:t>E. 5.1</w:t>
      </w:r>
    </w:p>
    <w:p>
      <w:r>
        <w:t>Par accident, on entend toute atteinte dommageable, soudaine et involontaire, portée au corps humain par une cause extérieure extraordinaire qui compromet la santé physique, mentale ou psychique ou qui entraîne la mort (art. 4 LPGA ; ATF 129 V 402 consid. 2.1 ; ATF 122 V 230 consid. 1 et les références).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w:t>
      </w:r>
    </w:p>
    <w:p>
      <w:r>
        <w:rPr>
          <w:b/>
        </w:rPr>
        <w:t>E. 5.1.1</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w:t>
      </w:r>
    </w:p>
    <w:p>
      <w:r>
        <w:t>A/2188/2021 - 6/19 -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w:t>
      </w:r>
    </w:p>
    <w:p>
      <w:r>
        <w:rPr>
          <w:b/>
        </w:rPr>
        <w:t>E. 5.1.2</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 ATF 117 V 369 consid. 4b ; ATF 115 V 133 consid. 6 ; ATF 115 V 403 consid. 5). En présence de troubles psychiques apparus après un accident, on examine les critères de la causalité adéquate en excluant les aspects psychiques (ATF 115 V 133 consid. 6c/aa ; ATF 115 V 403 consid. 5c/aa).</w:t>
      </w:r>
    </w:p>
    <w:p>
      <w:r>
        <w:rPr>
          <w:b/>
        </w:rPr>
        <w:t>E. 5.1.3</w:t>
      </w:r>
    </w:p>
    <w:p>
      <w:r>
        <w:t>Dans un arrêt du 15 juillet 2020 (8C_416/2019), le Tribunal fédéral a rappelé que le SDRC a été retenu en 1994 par un groupe de travail de l'International Association for the Study of Pain (ci-après : IASP) et qu’il constitue une entité associant la douleur à un ensemble de symptômes et de signes non spécifiques qui, une fois assemblés, fondent un diagnostic précis (DR F. LUTHI/DR P.-A. BUCHARD/A. CARDENAS/C. FAVRE/DR M. FÉDOU/M. FOLI/DR J. SAVOY/DR J.-L TURLAN/DR M. KONZELMANN, Syndrome douloureux régional complexe, in Revue médicale suisse 2019, p. 495). L'IASP a aussi réalisé un consensus diagnostique aussi complet que possible avec la validation, en 2010, des critères dits de Budapest, à savoir : 1) douleur qui persiste et apparaît disproportionnée avec l'événement initial ; 2) au moins un symptôme dans trois (critères cliniques) ou quatre (critères recherche) des quatre catégories suivantes : a) sensoriel : le patient décrit une douleur qui évoque une hyperpathie et/ou une allodynie ;</w:t>
      </w:r>
    </w:p>
    <w:p>
      <w:r>
        <w:t>A/2188/2021 - 7/19 - b) vasomoteur : le patient décrit une asymétrie de température et/ou un changement de couleur et/ou une asymétrie de couleur ; c) sudomoteur/œdème : le patient décrit un œdème et/ou une asymétrie de sudation ; d) moteur/trophique : le patient décrit une raideur et/ou une dysfonction motrice (faiblesse, trémor, dystonie) et/ou un changement trophique (pilosité, ongles, peau) ; 3) au moins un signe dans deux des catégories suivantes (critères cliniques et recherche) : a) sensoriel : confirmation d'une hyperpathie et/ou allodynie ; b) vasomoteur : confirmation d'une asymétrie de température et/ou changement de couleur et/ou asymétrie de couleur ; c) sudomoteur/œdème : confirmation d'un œdème et/ou asymétrie de sudation ; d) moteur/trophique : confirmation d'une raideur et/ou dysfonction motrice (faiblesse, trémor, dystonie) et/ou changement trophique (pilosité, ongles, peau) ; 4) il n'existe pas d'autre diagnostic qui explique de manière plus convaincante les symptômes et les signes cliniques. Les critères ci-dessus sont exclusivement cliniques et ne laissent que peu de place aux examens radiologiques (radiographie, scintigraphie, IRM). L'utilisation de l'imagerie fait l'objet d'une controverse dans le milieu médical, mais garde un rôle notamment dans la recherche de diagnostics différentiels, ou lorsque les signes cliniques sont discrets ou incomplets ainsi que dans certaines formes atypiques (DRS K. DISERENS/P. VUADENS/PR JOSEPH GHIKAIN, Syndrome douloureux régional complexe : rôle du système nerveux central et implications pour la prise en charge, in Revue médicale suisse 2020, p. 886 ; F. LUTHI/M. KONZELMANN, Le syndrome douloureux régional complexe [algodystrophie] sous toutes ses formes, in Revue médicale suisse 2014, p. 271). En pratique, si les critères 1 à 3 sont remplis et que le critère 4 est respecté, on doit considérer que le patient souffre d'un SDRC ; toutefois la valeur prédictive positive n'est que de 76 %. Si les critères sont partiellement remplis, il faut poursuivre le diagnostic différentiel et réévaluer le patient. Si les critères ne sont pas remplis, le patient a une probabilité quasi nulle d'avoir un SDRC (DR F. LUTHI/DR P.-A. BUCHARD/A. CARDENAS/C. FAVRE/DR M. FÉDOU/M. FOLI/DR J. SAVOY/DR J.-L TURLAN/DR M. KONZELMANN, op. cit., p. 498). Le SDRC est quatre fois plus fréquent chez la femme, le plus souvent au membre supérieur, avec une prédominance entre 50 et 70 ans. L'introduction des critères de Budapest a réduit de 50 % les diagnostics de SDRC (DRS K. DISERENS/P. VUADENS/PR JOSEPH GHIKAIN, op. cit., p. 885 ss).</w:t>
      </w:r>
    </w:p>
    <w:p>
      <w:r>
        <w:rPr>
          <w:b/>
        </w:rPr>
        <w:t>E. 5.1.4</w:t>
      </w:r>
    </w:p>
    <w:p>
      <w:r>
        <w:t>Selon la jurisprudence, pour qu’un tel syndrome puisse constituer la conséquence d’un accident, les trois critères suivants doivent être réalisés :</w:t>
      </w:r>
    </w:p>
    <w:p>
      <w:r>
        <w:t>A/2188/2021 - 8/19 - a) la preuve d'une lésion physique (comme par exemple un hématome ou une contusion) après un accident ou l'apparition d'une algodystrophie à la suite d'une opération nécessitée par l'accident ; b) l'absence d'un autre facteur causal de nature non traumatique (comme par exemple : état après infarctus du myocarde, après apoplexie, après ou lors de l’ingestion de barbituriques, lors de tumeurs, de grossesses ; etc.) ; c) une courte période de latence entre l'accident et l'apparition de l'algodystrophie, soit au maximum six à huit semaines (arrêts du Tribunal fédéral 8C_871/2010 du 4 octobre 2011 consid. 3.2 et 8C_384/2009 du</w:t>
      </w:r>
    </w:p>
    <w:p>
      <w:r>
        <w:rPr>
          <w:b/>
        </w:rPr>
        <w:t>E. 5.2</w:t>
      </w:r>
    </w:p>
    <w:p>
      <w:r>
        <w:t>Aux termes de l’art. 10 al. 1 LAA, l’assuré a droit au traitement médical approprié des lésions résultant de l’accident. Conformément à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À teneur de l’art. 18 al. 1 LAA, si l’assuré est invalide (art. 8 LPGA) à 10 % au moins par suite d’un accident, il a droit à une rente d’invalidité, pour autant que l’accident soit survenu avant l’âge ordinaire de la retraite. L’art. 19 al. 1 LAA précise que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Selon l'art. 21 al. 1 LAA, lorsque la rente a été fixée, les prestations pour soins et remboursement de frais (art. 10 à 13 LAA) sont accordées à son bénéficiaire notamment lorsqu'il a besoin de manière durable d'un traitement et de soins pour conserver sa capacité résiduelle de gain (let. c) ou lorsqu'il présente une incapacité</w:t>
      </w:r>
    </w:p>
    <w:p>
      <w:r>
        <w:t>A/2188/2021 - 9/19 - de gain et que des mesures médicales amélioreraient notablement son état de santé ou empêcheraient que celui-ci ne subisse une notable détérioration (let. d).</w:t>
      </w:r>
    </w:p>
    <w:p>
      <w:r>
        <w:rPr>
          <w:b/>
        </w:rPr>
        <w:t>E. 5.2.1</w:t>
      </w:r>
    </w:p>
    <w:p>
      <w:r>
        <w:t>La notion d’incapacité de travail, à laquelle renvoie l’art. 16 al. 1 LAA comme condition du droit à l’indemnité journalière, est définie à l’art. 6 LPGA. Selon cette disposition,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L’art. 19 al. 1 LAA délimite temporellement le droit au traitement médical et le droit à la rente d’invalidité, le moment déterminant étant celui auquel l’état de santé peut être considéré comme relativement stabilisé (arrêt du Tribunal fédéral des assurances U 305/03 du 31 août 2004 consid. 4.1 et les références). Le droit au traitement médical et aux indemnités journalières cesse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 prévu par l’art. 18 al. 1 LAA (ATF 134 V 109 consid. 4.1 ; ATF 133 V 57 consid. 6.6.2). Autrement dit, l’assureur-accidents est tenu d’octroyer une indemnité journalière et de prendre en charge le traitement médical aussi longtemps qu’il y a lieu d’attendre une amélioration notable de l’état de santé. Si une telle amélioration ne peut plus être envisagée, il doit clore le cas (arrêt du Tribunal fédéral 8C_589/2018 du 4 juillet 2019 consid. 4.2). La loi ne précise pas ce qu’il faut entendre par « une sensible amélioration de l’état de l’assuré » (art. 19 al. 1 LAA). Eu égard au fait que l’assurance-accidents est avant tout destinée aux personnes exerçant une activité lucrative (cf. art. 1a et 4 LAA), ce critère se déterminera notamment en fonction de la diminution ou disparition escomptée de l’incapacité de travail liée à un accident. L’ajout du terme « sensible » par le législateur tend à spécifier qu’il doit s’agir d’une amélioration significative, un progrès négligeable étant insuffisant (ATF 134 V 109 consid. 4.3). Ce qu’il faut comprendre par sensible amélioration de l’état de santé au sens de l’art. 19 al. 1 LAA se détermine ainsi en fonction de l’augmentation ou du rétablissement de la capacité de travail à attendre pour autant qu’elle ait été diminuée par l’accident, auquel cas l’amélioration escomptée par un autre traitement doit être importante. Des améliorations insignifiantes ne suffisent pas (ATF 134 V 109 consid. 4.3 ; arrêt du Tribunal fédéral 8C_402/2007 du 23 avril 2008 consid. 5.1.2.1). Ni la simple possibilité d’un résultat positif d’un autre traitement médical, ni un progrès thérapeutique seulement insignifiant escompté d’autres mesures thérapeutiques comme une cure thermale ne donnent droit à leur mise en œuvre. Il n’y a pas d’amélioration sensible de l’état de santé quand la mesure thérapeutique (par exemple une cure annuelle) ne fait que soulager momentanément des douleurs occasionnées par un état par ailleurs</w:t>
      </w:r>
    </w:p>
    <w:p>
      <w:r>
        <w:t>A/2188/2021 - 10/19 - stationnaire (arrêt du Tribunal fédéral 8C_179/2014 du 16 mars 2015 consid. 4.1). Des troubles chroniques ne font pas obstacle à la reconnaissance d’un état de santé par ailleurs stationnaire (arrêt du Tribunal fédéral 8C_734/2014 du 23 novembre 2015 consid. 4.2). Le simple fait qu’un traitement médical continue à être nécessaire ne suffit pas non plus à exclure la stabilisation de l’état de santé (arrêt du Tribunal fédéral 8C_956/2009 du 9 mars 2010 consid. 4.1.2). Dans le cas d’un assuré dont le chirurgien avait uniquement suggéré la poursuite d’un traitement symptomatique, antalgique et peut-être une physiothérapie, le Tribunal fédéral a confirmé que l’assureur-accidents était fondé à considérer que l’état de santé était stabilisé (arrêt du Tribunal fédéral 8C_589/2018 du 4 juillet 2019 consid. 4.3). Il faut encore préciser que la stabilisation de l’état de santé doit être estimée de manière pronostique, et non à l’aune de constatations rétrospectives (RAMA 3/2005 n° U 557 p. 389, consid. 3.1 ; arrêt du Tribunal fédéral 8C_849/2011 du 29 mai 2012 consid. 3.2).</w:t>
      </w:r>
    </w:p>
    <w:p>
      <w:r>
        <w:rPr>
          <w:b/>
        </w:rPr>
        <w:t>E. 5.2.2</w:t>
      </w:r>
    </w:p>
    <w:p>
      <w:r>
        <w:t>Les conditions du droit à la prise en charge des frais de traitement médical diffèrent selon que l'assuré est ou n'est pas au bénéfice d'une rente (ATF 116 V 41 consid. 3b). Dans l'éventualité visée à l'art. 10 al. 1 LAA, un traitement doit être pris en charge lorsqu'il est propre à entraîner une amélioration de l'état de santé ou à éviter une péjoration de cet état. Il n'est pas nécessaire qu'il soit de nature à rétablir ou à augmenter la capacité de gain. En revanche, dans l'éventualité visée à l'art. 21 al. 1 LAA, un traitement ne peut être pris en charge qu'aux conditions énumérées à cette disposition (arrêt du Tribunal fédéral 8C_332/2012 du 18 avril 2013 consid. 1).</w:t>
      </w:r>
    </w:p>
    <w:p>
      <w:r>
        <w:rPr>
          <w:b/>
        </w:rPr>
        <w:t>E. 6</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w:t>
      </w:r>
    </w:p>
    <w:p>
      <w:r>
        <w:t>A/2188/2021 - 11/19 -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ATF 142 V 58 consid. 5.1 et les références ; ATF 139 V 225 consid. 5.2 et les références ; ATF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ATF 135 V 465 consid. 4).</w:t>
      </w:r>
    </w:p>
    <w:p>
      <w:r>
        <w:t>A/2188/2021 - 12/19 -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d’opinions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w:t>
      </w:r>
    </w:p>
    <w:p>
      <w:r>
        <w:t>A/2188/2021 - 13/19 -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Lorsque le juge des assurances sociales constate qu'une instruction est nécessaire, il doit en principe mettre lui-même en œuvre une expertise (ATF 137 V 210 consid. 4.4.1.3 et 4.4.1.4). Un renvoi à l'administration reste possible, notamment quand elle n'a pas du tout instruit une question, lorsqu'il s'agit de préciser un point de l'expertise ordonnée par l'administration ou de demander un complément à l'expert (ATF 137 V 210 consid. 4.4.1.3 et 4.4.1.4).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w:t>
      </w:r>
    </w:p>
    <w:p>
      <w:r>
        <w:rPr>
          <w:b/>
        </w:rPr>
        <w:t>E. 8</w:t>
      </w:r>
    </w:p>
    <w:p>
      <w:r>
        <w:t>En l’espèce, il est rappelé que l’intimée a reconnu l'existence d'un rapport de causalité naturelle entre l'événement accidentel du 30 novembre 2017 et la fracture du 5ème métacarpien de la main gauche, compliquée par l’apparition d’un SDRC. Conformément aux conclusions du Dr C______, elle a retenu qu’il n’y avait plus lieu d’attendre de la continuation du traitement médical une sensible amélioration de l’état orthopédique de la recourante, dès le 31 janvier 2021. Sur le plan neuropsychologique, elle a nié tout lien de causalité entre le SDRC et les troubles attentionnels et exécutifs, suivant l’appréciation du Dr F______.</w:t>
      </w:r>
    </w:p>
    <w:p>
      <w:r>
        <w:rPr>
          <w:b/>
        </w:rPr>
        <w:t>E. 8.1</w:t>
      </w:r>
    </w:p>
    <w:p>
      <w:r>
        <w:t>Il convient donc d’examiner la valeur probante des rapports des médecins-conseils de l’intimée.</w:t>
      </w:r>
    </w:p>
    <w:p>
      <w:r>
        <w:rPr>
          <w:b/>
        </w:rPr>
        <w:t>E. 8.2</w:t>
      </w:r>
    </w:p>
    <w:p>
      <w:r>
        <w:t>Au niveau orthopédique, le Dr C______ a posé, outre le status après la fracture du 5ème métacarpien gauche en décembre 2017, les diagnostics de SDRC du membre supérieur gauche (cf. rapport du 28 mai 2018), de SDRC en décours (cf. rapport du 3 juin 2019), de « syndrome douloureux du CRPS en décours, sans remplir les critères de Budapest » (cf. rapport du 27 septembre 2019), et de « status après » SDRC du membre supérieur gauche, « non évolutif et en stabilisation depuis 12 mois » (cf. rapport du 1er octobre 2020).</w:t>
      </w:r>
    </w:p>
    <w:p>
      <w:r>
        <w:t>A/2188/2021 - 14/19 -</w:t>
      </w:r>
    </w:p>
    <w:p>
      <w:r>
        <w:rPr>
          <w:b/>
        </w:rPr>
        <w:t>E. 8.2.1</w:t>
      </w:r>
    </w:p>
    <w:p>
      <w:r>
        <w:t>La chambre de céans constate tout d’abord que si l’existence du SDRC, diagnostiqué dès le mois de janvier 2018 (cf. ordonnance d’ergothérapie du 24 janvier 2018 du Dr H______), n’est ni contestée, ni contestable, les appréciations du médecin-conseil quant au décours et à l’absence d’une évolution sensible du trouble ne sauraient en l’état être confirmées. On relèvera notamment que lors de son premier examen, le Dr C______ a admis l’existence d’un SDRC et relevé une différence nette entre les deux mains, avec à gauche une augmentation du diamètre des doigts qui étaient boudinés et une hypersudation nette. La mobilité était diminuée et la force faible (cf. rapport du 28 mai 2018). Le décours retenu par ce médecin lors de sa deuxième auscultation est difficilement compréhensible puisqu’il a exposé qu’il n’y avait pas de modification majeure depuis son précédent examen. En outre, le décours ne semble pas correspondre aux constatations médicales et aux déclarations de la recourante. En effet, le médecin a noté une légère diminution de la mobilité de la main, des douleurs et un œdème, avec une augmentation globale du périmètre des doigts et de la main. L’intéressée relatait en outre une limitation fonctionnelle persistante la gênant dans sa vie quotidienne, et signalait une recrudescence des douleurs et un gonflement de la main avec l’arrivée de la chaleur (cf. rapport du 3 juin 2019). Ces éléments suggèrent donc plutôt une aggravation récente qu’un déclin de la maladie. On relèvera encore qu’entre les deux examens du Dr C______, la recourante a séjourné du 8 août au 19 septembre 2018 à la Clinique romande de réadaptation (ci-après : CRR), où le diagnostic de SDRC a été confirmé sur la base des critères de Budapest (cf. rapport du 20 septembre 2019 [recte : 2018]), et que le médecin traitant n’a pas constaté de décours (cf. ordonnances pour l’ergothérapie des 1er avril, 15 mai et 14 juin 2019, rapports des 15 juin et 3 août 2019 du Dr H______). Lors de son examen du mois de septembre 2019, le Dr C______ a maintenu le stade de « décours » et affirmé que les critères de Budapest n’étaient pas remplis, sans toutefois les passer en revue, ni même évoquer ceux qui feraient défaut (cf. rapport du 27 septembre 2019). Certes, le rapport du 3 septembre 2019 de la Clinique de la douleur mentionne également que lesdits critères n’étaient pas réunis, ce qui paraît de prime abord surprenant au vu du diagnostic retenu (« CRPS type I » sans mention aucune d’une rémission, même partielle), mais il semblerait que le trouble se soit aggravé après cette consultation. En effet, les médecins de la Clinique de la douleur ont indiqué que seuls des troubles moteurs avaient été constatés lors de leur examen, alors que celui du Dr C______ réalisé quelques semaines plus tard a confirmé certains éléments des catégories « sensoriel » et « sudomoteur/œdème », puisque le médecin a mentionné une sensibilité conservée mais décrite comme « diminuée », une discrète hypersudation « bilatérale », « probablement un peu augmentée du côté G », des doigts « discrètement œdématiés ». On relèvera encore que la recourante a signalé</w:t>
      </w:r>
    </w:p>
    <w:p>
      <w:r>
        <w:t>A/2188/2021 - 15/19 - une alternance des phases froides et chaudes (cf. procès-verbal de l’entretien avec l’intimée du 21 mars 2019), ce qui ne ressort pas du rapport du médecin-conseil et expliquerait l’aggravation de l’atteinte entre les 3 et 27 septembre 2019. Dans ces circonstances, le diagnostic du Dr C______, qui ne repose pas sur un examen médical approfondi et ne prend pas en considération les plaintes de la recourante, n’est pas fiable. Enfin, dans son appréciation finale, le médecin-conseil a diagnostiqué un « status après » SDRC, « non évolutif et en stabilisation depuis 12 mois ». Il a indiqué qu’il n’y avait pas de modification sensible entre ses examens de septembre 2019 et septembre 2020 et conclu que le cas était stabilisé (cf. rapport du 1er octobre 2020). Ce rapport ne contient pas non plus une analyse des critères de Budapest, pourtant déterminants en cas de SDRC, de sorte que le diagnostic posé par le Dr C______ ne saurait être considéré comme établi. En outre, aucune comparaison pertinente ne peut être effectuée entre les deux derniers examens du médecin-conseil, seul celui de 2020 ayant fait l’objet de constatations cliniques approfondies, avec notamment l’évaluation de la mobilité des poignets, l’enroulement des doigts, la force de préhension ou encore les mesures complètes de mobilité de tous les doigts, alors que les données retranscrites dans le rapport de septembre 2019 concernent uniquement les distances pulpe des doigts/paume de la main pour D3 à D5. Les conclusions du Dr C______ ne sont ainsi pas vérifiables. De plus, les plaintes de la recourante n’ont été que peu rapportées par le médecin-conseil, et elles ressortent davantage des autres pièces du dossier. À titre d’exemples, l’intéressée a fait état d’une main par moment « flambante » avec une sensation de pics d’intensité de chaleur, « transpirante », de douleurs et de fourmillements (cf. procès-verbal de l’entretien avec l’intimée du 4 mars 2020), de douleurs accompagnées de fourmillements, de sensation de main chaude et moite (cf. rapport du 31 août 2020 de Mme E______). Ces doléances n’ont même pas été citées par le médecin-conseil. Enfin, l’absence d’évolution du SDRC est contredite par le rapport du 4 septembre 2020 du Dr H______, qui a indiqué que sa patiente relatait un bénéfice suite au traitement d’ergothérapie, notamment une main plus souple et moins douloureuse, et précisé qu’elle avait récemment « lâché le gant compressif » et qu’il la reverrait à un mois pour s’assurer de l’évolution favorable. À la même époque, dans son bilan du 16 septembre 2020, Mme G______, ergothérapeute qui suit la recourante depuis le mois de février 2018, a mentionné le diagnostic d’algoneurodystrophie en décours, et noté de réels progrès quantifiables au niveau de la mobilité articulaire dans la flexion et l’extension des doigts, mais la persistance d’une raideur et de douleurs neurogènes entraînant une grande fatigabilité, des nausées et des céphalées lors de l’utilisation de la main gauche. Ces éléments permettent de douter de la fiabilité et de la pertinence des conclusions du Dr C______ quant à l’absence d’une modification sensible de l’état de santé de la recourante entre ses examens des mois de septembre 2019 et septembre 2020.</w:t>
      </w:r>
    </w:p>
    <w:p>
      <w:r>
        <w:t>A/2188/2021 - 16/19 - Enfin, les rapports établis après le prononcé de la décision litigieuse mettent à mal la stabilisation de l’état de santé retenue par l’intimée puisque le Dr I______ a attesté d’une progression, certes lente, grâce à la thérapie dont l’intéressée bénéficiait et qu’il était important de continuer (cf. rapport du 1er août 2021) et le Dr H______ a indiqué que les troubles trophiques étaient en diminution (sudation et tuméfaction) et a constaté une amélioration de la force au niveau de la main gauche (cf. rapport du 6 août 2021).</w:t>
      </w:r>
    </w:p>
    <w:p>
      <w:r>
        <w:rPr>
          <w:b/>
        </w:rPr>
        <w:t>E. 8.2.2</w:t>
      </w:r>
    </w:p>
    <w:p>
      <w:r>
        <w:t>La chambre de céans relèvera ensuite que le Dr C______ n’a pas réellement examiné la question du traitement médical et qu’il s’est limité à rappeler le suivi de plusieurs séances d’ergothérapie par semaine « depuis de nombreuses années » et précisé que l’intéressée ne prenait que rarement des médicaments car ils n’apportaient pas d’amélioration sensible. On ignore notamment si le traitement de physiothérapie en piscine prescrit à la sortie de la CRR (cf. rapport du 20 septembre 2019 [recte : 2018]) a été suivi, pour quelle raison l’hypnothérapie a été interrompue à la demande d’une médecin et si la stimulation magnétique transcranienne répétitive suggérée à la Clinque de la douleur (cf. rapport du 3 septembre 2019) a été concrètement proposée à la recourante. On rappellera également qu’une prise en charge en psychomotricité a été préconisée tant par Mme E______ (cf. rapport du 31 août 2020) que Mme G______ (cf. rapport du 16 septembre 2020).</w:t>
      </w:r>
    </w:p>
    <w:p>
      <w:r>
        <w:rPr>
          <w:b/>
        </w:rPr>
        <w:t>E. 8.2.3</w:t>
      </w:r>
    </w:p>
    <w:p>
      <w:r>
        <w:t>Par conséquent, les rapports du Dr C______ ne remplissent pas les critères jurisprudentiels pour se voir attribuer une pleine valeur probante. L’intimée ne pouvait donc pas retenir, sur la base desdits documents, qu’il n’y a plus lieu d’attendre de la continuation du traitement médical une sensible amélioration de l’état de santé de la recourante et mettre ainsi un terme au versement des indemnités journalières et à la prise en charge du traitement, et statuer sur son droit à la rente.</w:t>
      </w:r>
    </w:p>
    <w:p>
      <w:r>
        <w:rPr>
          <w:b/>
        </w:rPr>
        <w:t>E. 8.3</w:t>
      </w:r>
    </w:p>
    <w:p>
      <w:r>
        <w:t>Au niveau neurologique, la chambre de céans rappellera que le bilan neuropsychologique mis en œuvre par l’intimée en été 2020 a confirmé les troubles dont se plaignait la recourante. À titre d’exemples, l’évaluatrice a constaté que la patiente était fatiguée et fatigable, surtout lorsque les rendez-vous se déroulaient l’après-midi, qu’elle était cliniquement ralentie. Elle a observé une extrême lenteur durant les tests de calcul, avec la perte de la procédure à la soustraction, une fluctuation des temps de réponse, avec un nombre d’erreurs et d’omissions significativement élevé lors des tests de mémoire du travail, une certaine désorganisation dans les épreuves d’incitation, avec des sauts de case et un nombre sévère de répétitions, ou encore un manque de structure et un ralentissement lors des tâches de planification. Les tests ont également révélé un rendement faible en attention sélective, des temps de réaction ralentis en attention divisée, et des difficultés en attention soutenue et vigilance, avec un taux élevé d’omissions et de réponses incorrectes. La psychologue a ainsi conclu à des</w:t>
      </w:r>
    </w:p>
    <w:p>
      <w:r>
        <w:t>A/2188/2021 - 17/19 - difficultés attentionnelles modérées, notamment au niveau cognitif (ralentissement dans plusieurs épreuves chronométrées, difficultés au niveau de l’attention sélective en modalité visuelle, de l’attention divisée et soutenue) et au niveau comportemental (ralentissement cliniquement observable, importante fatigabilité et survenue de céphalées), un dysfonctionnement exécutif modéré, caractérisé, au niveau cognitif (difficultés en mémoire de travail, difficultés d’inhibition [persévérations, ralentissements], de flexibilité et de planification [désorganisation]), associées à des difficultés de calcul écrit, ainsi que des signes de perturbations du schéma corporel relevés à l’anamnèse, marqués par une dissociation de la main gauche du reste du corps. Selon elle, ces difficultés cognitives étaient à mettre en lien avec le SDRC. Elle a signalé un risque d’épuisement à long terme et évoqué plusieurs propositions de prise en charge, dont de la psychomotricité, la poursuite de l’ergothérapie et un accompagnement psychothérapeutique des douleurs et de la gestion de la fatigue (cf. rapport du 31 août 2020 de Mme E______).</w:t>
      </w:r>
    </w:p>
    <w:p>
      <w:r>
        <w:rPr>
          <w:b/>
        </w:rPr>
        <w:t>E. 8.3.1</w:t>
      </w:r>
    </w:p>
    <w:p>
      <w:r>
        <w:t>Dans son avis du 15 septembre 2020, le médecin-conseil de l’intimée a relevé que la performance aux tests neuropsychologiques était le résultat de tous les facteurs réagissant sur le cerveau au moment du test, tels que la vigilance, la formation, l’âge, l’expérience, la condition médicale, les effets médicamenteux, la motivation et l’angoisse. Les résultats étaient essentiellement non spécifiques, et un bilan neuropsychologique était donc utile pour déterminer le niveau de fonctionnement cognitif et la gravité d’une éventuelle pathologie, mais ne permettait pas d’établir la cause d’un dysfonctionnement. Le Dr F______ a conclu que le lien de causalité entre le SDRC et les troubles attentionnels et exécutifs était tout au plus possible, et que la capacité de travail exigible et les limitations fonctionnelles devaient être appréciées sous l’angle de la chirurgie orthopédique. Cette appréciation ne contient pas la moindre motivation quant au lien de causalité naturelle entre le SDRC et les troubles objectivement mis en évidence dans le bilan effectué à la demande de l’intimée. Aucune valeur probante ne saurait donc lui être reconnue. De plus, il est pour le moins surprenant que le Dr F______ ait considéré que le bilan neuropsychologique ne permettait pas d’établir la cause des troubles, sans pour autant suggérer d’autres pistes, ce d’autant plus que la recourante n’avait alors pas encore consulté de neurologue. Compte tenu de l’atteinte dont elle souffre et des plaintes émises, un examen neurologique personnel paraissait nécessaire.</w:t>
      </w:r>
    </w:p>
    <w:p>
      <w:r>
        <w:rPr>
          <w:b/>
        </w:rPr>
        <w:t>E. 8.3.2</w:t>
      </w:r>
    </w:p>
    <w:p>
      <w:r>
        <w:t>Enfin, le rapport du 1er août 2021 du Dr I______ peut être pris en considération dès lors que son bilan du 29 juillet 2021, certes postérieur à la décision litigieuse, fait état de plusieurs troubles dont la recourante se plaignait déjà en 2019. À l’issue de son examen, ce spécialiste a conclu que la présentation clinique était compatible avec l’atteinte périphérique de la main, ainsi qu’avec les conséquences que cette pathologie entraînait sur le plan du fonctionnement cérébral. En effet, les troubles de la concentration, la fatigue et la fatigabilité, de</w:t>
      </w:r>
    </w:p>
    <w:p>
      <w:r>
        <w:t>A/2188/2021 - 18/19 - même que les difficultés de perception des espaces et en particulier de l’hémi-espace gauche étaient directement associés à la pathologie de base. À la demande de l’intimée, le Dr F______ a rendu un nouvel avis le 5 octobre 2021, dans lequel il a indiqué que le rapport du Dr I______ ne permettait pas de modifier ses précédentes conclusions. En substance, le médecin-conseil a remis en cause l’existence d’une perturbation du schéma corporel gauche, une héminégligence gauche ou une exclusion du membre supérieur gauche. Les explications sommaires du médecin-conseil ne permettent à l’évidence pas d’écarter l’appréciation du Dr I______, dont les conclusions s’opposent à la première évaluation du Dr F______.</w:t>
      </w:r>
    </w:p>
    <w:p>
      <w:r>
        <w:rPr>
          <w:b/>
        </w:rPr>
        <w:t>E. 9</w:t>
      </w:r>
    </w:p>
    <w:p>
      <w:r>
        <w:t>Par conséquent, force est de constater qu’une instruction complémentaire s’impose afin de déterminer, d’une part, si les troubles neuropsychologiques dont souffre la recourante sont en rapport de causalité naturelle avec l’accident assuré et, d’autre part, si une amélioration sensible des troubles consécutifs au sinistre peut être attendue grâce à un traitement médical. Aucune expertise n’ayant été diligentée à ce stade, la cause sera renvoyée à l’intimée pour ce faire, conformément à l’art. 44 LPGA. Il n'appartient en effet pas à la chambre de céans d'ordonner elle-même une expertise judiciaire, dès lors que l'intimée s’est écartée des conclusions du bilan neuropsychologique qu’elle a elle-même sollicité, sur la seule base d’un avis sur pièces dépourvu de toute motivation.</w:t>
      </w:r>
    </w:p>
    <w:p>
      <w:r>
        <w:rPr>
          <w:b/>
        </w:rPr>
        <w:t>E. 10</w:t>
      </w:r>
    </w:p>
    <w:p>
      <w:r>
        <w:t>Eu égard à tout ce qui précède, il y a lieu d’admettre le recours, d’annuler la décision sur opposition du 28 mai 2021 et de renvoyer la cause à l’intimée pour qu’elle complète l’instruction dans le sens qui précède, puis rende une nouvelle décision. La recourante, assistée d’une mandataire et qui obtient gain de cause, a droit à une indemnité de dépens, que la chambre de céans fixe à CHF 2'000.- (art. 61 let. g LPGA ; art. 89H al. 3 de la loi sur la procédure administrative du</w:t>
      </w:r>
    </w:p>
    <w:p>
      <w:r>
        <w:rPr>
          <w:b/>
        </w:rPr>
        <w:t>E. 12</w:t>
      </w:r>
    </w:p>
    <w:p>
      <w:r>
        <w:t>septembre 1985 – LPA ; RS E 5 10 ; art. 6 du règlement sur les frais, émoluments et indemnités en procédure administrative du 30 juillet 1986 – RFPA ; RS E 5 10.03). Pour le surplus, la procédure est gratuite (art. 89H al. 4 LPA). * * * * * *</w:t>
      </w:r>
    </w:p>
    <w:p>
      <w:r>
        <w:t>A/2188/2021 - 19/19 -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