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ATAS/766/2018 vom 3. September 2018</w:t>
      </w:r>
    </w:p>
    <w:p>
      <w:r>
        <w:t>GE Cour de justice, 2018-09-03, FR</w:t>
      </w:r>
    </w:p>
    <w:p>
      <w:r>
        <w:rPr>
          <w:b/>
        </w:rPr>
        <w:t xml:space="preserve">Quelle: </w:t>
      </w:r>
      <w:r>
        <w:t>https://mcp.opencaselaw.ch/entscheid/ge_gerichte_ATAS_766_2018</w:t>
      </w:r>
    </w:p>
    <w:p>
      <w:r>
        <w:t>FR: GE_GERICHTE ATAS/766/2018 du 3 septembre 2018</w:t>
      </w:r>
    </w:p>
    <w:p>
      <w:r>
        <w:t>IT: GE_GERICHTE ATAS/766/2018 del 3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 l'intimé d'entrer en matière sur la nouvelle demande de prestations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w:t>
      </w:r>
    </w:p>
    <w:p>
      <w:r>
        <w:t>A/1320/2018 - 5/8 -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t>A/1320/2018 - 6/8 -</w:t>
      </w:r>
    </w:p>
    <w:p>
      <w:r>
        <w:rPr>
          <w:b/>
        </w:rPr>
        <w:t>E. 5</w:t>
      </w:r>
    </w:p>
    <w:p>
      <w:r>
        <w:t>En l'occurrence, c'est à tort que l'intimé a refusé d'entrer en matière sur la nouvelle demande de prestations du recourant. En effet, suite au courrier de l'OAI du 28 novembre 2017, impartissant au recourant un délai de trente jours pour fournir un rapport médical circonstancié démontrant une aggravation probable, le Dr C______ a rempli un rapport médical AI le</w:t>
      </w:r>
    </w:p>
    <w:p>
      <w:r>
        <w:rPr>
          <w:b/>
        </w:rPr>
        <w:t>E. 10</w:t>
      </w:r>
    </w:p>
    <w:p>
      <w:r>
        <w:t>décembre 2017 étant déjà suffisante pour considérer que le recourant a rendu plausible une aggravation de son état de santé psychique depuis le 1er juillet 2014. 6. Partant, le recours sera admis. La procédure de recours en matière de contestations portant sur l’octroi ou le refus de prestations de l’assurance-invalidité étant soumise à des frais de justice (art. 69 al. 1bis LAI), un émolument de CHF 200.- sera mis à la charge de l’intimé. Représenté par un mandataire et obtenant gain de cause, le recourant a droit à une indemnité de CHF 2'000.- à titre de dépens (art. 61 let. g LPGA et 89H al. 3 LPA). ******</w:t>
      </w:r>
    </w:p>
    <w:p>
      <w:r>
        <w:t>A/1320/2018 - 8/8 -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