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ATAS/766/2015 vom 6. Oktober 2015</w:t>
      </w:r>
    </w:p>
    <w:p>
      <w:r>
        <w:t>GE Cour de justice, 2015-10-06, FR</w:t>
      </w:r>
    </w:p>
    <w:p>
      <w:r>
        <w:rPr>
          <w:b/>
        </w:rPr>
        <w:t xml:space="preserve">Quelle: </w:t>
      </w:r>
      <w:r>
        <w:t>https://mcp.opencaselaw.ch/entscheid/ge_gerichte_ATAS_766_2015</w:t>
      </w:r>
    </w:p>
    <w:p>
      <w:r>
        <w:t>FR: GE_GERICHTE ATAS/766/2015 du 6 octobre 2015</w:t>
      </w:r>
    </w:p>
    <w:p>
      <w:r>
        <w:t>IT: GE_GERICHTE ATAS/766/2015 del 6 ottobre 2015</w:t>
      </w:r>
    </w:p>
    <w:p>
      <w:pPr>
        <w:pStyle w:val="Heading2"/>
      </w:pPr>
      <w:r>
        <w:t>Erwägungen</w:t>
      </w:r>
    </w:p>
    <w:p>
      <w:r>
        <w:rPr>
          <w:b/>
        </w:rPr>
        <w:t>E. 1</w:t>
      </w:r>
    </w:p>
    <w:p>
      <w:r>
        <w:t>La compétence de la chambre de céans pour juger du d’espèce et la question de la recevabilité du recours ont été examinées et admises dans l’arrêt incident du 14 juillet 2015 (ATAS/549/2015), de sorte qu’il n’y a pas lieu de revenir sur ces points.</w:t>
      </w:r>
    </w:p>
    <w:p>
      <w:r>
        <w:rPr>
          <w:b/>
        </w:rPr>
        <w:t>E. 2</w:t>
      </w:r>
    </w:p>
    <w:p>
      <w:r>
        <w:t>A teneur de l'art. 1 al. 1 LAA, les dispositions de la LPGA s'appliquent à l'assurance-accidents, à moins que la loi n'y déroge expressément.</w:t>
      </w:r>
    </w:p>
    <w:p>
      <w:r>
        <w:rPr>
          <w:b/>
        </w:rPr>
        <w:t>E. 3</w:t>
      </w:r>
    </w:p>
    <w:p>
      <w:r>
        <w:t>L’objet du litige porte sur le point de savoir si l’intimée était fondée de mettre en œuvre une expertise médicale et de la confier au Dr H______. Il conviendra également de traiter des demandes d’injonction et de suspension formulées par l’intimée dans le cadre de sa réponse du 17 août 2015.</w:t>
      </w:r>
    </w:p>
    <w:p>
      <w:r>
        <w:rPr>
          <w:b/>
        </w:rPr>
        <w:t>E. 4</w:t>
      </w:r>
    </w:p>
    <w:p>
      <w:r>
        <w:t>a) A titre liminaire, il convient d’examiner le grief du recourant relatif à la prescription de la révision mise en œuvre par l’intimée. Selon lui, cette dernière procède à une révision procédurale de son cas (art. 53 al. 1 LPGA), soumise à un délai de 90 jours conformément à l’art. 67 al. 1 de la loi fédérale sur la procédure administrative du 20 décembre 1968 (PA - RS 172.021), par renvoi de l’art. 55 al. 1 LPGA. Or, l’intimée se fonde sur les rapports de surveillance transmis par ZURICH à la fin de l’année 2014 au plus tard. Le Dr F______ aurait dû produire son rapport à la fin du mois de janvier 2015, de sorte que la décision querellée a été rendue au- delà du 15 mai 2015, soit après l’échéance du délai de 90 jours. b)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w:t>
      </w:r>
    </w:p>
    <w:p>
      <w:r>
        <w:t>A/2139/2015 - 8/14 -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 A teneur de l’art. 55 al. 1 LPGA, les points de procédure qui ne sont pas réglés de manière exhaustive aux art. 27 à 54 LPGA ou par les dispositions des lois spéciales sont régis par la PA. L’art. 67 al. 1 PA prévoit que la demande de révision doit être adressée par écrit à l'autorité de recours dans les 90 jours qui suivent la découverte du motif de révision, mais au plus tard dix ans après la notification de la décision sur recours. Le Tribunal fédéral a admis l’application du délai de 90 jours de l’art. 67 al. 1 PA, par renvoi de l’art. 55 al. 1 LPGA, à la révision procédurale de l’art. 53 al. 1 LPGA (arrêt du Tribunal fédéral 8C_501/2014 du 5 août 2015 consid. 4.2 et les références). d) En l’espèce, il apparaît que l’intimée n’a pas encore révisé le droit à la rente du recourant, de sorte que le grief du recourant n’a pas à être tranché à ce stade de la procédure. En effet, la décision querellée constitue une décision incidente (cf. ATF 137 V 210) qui a été rendue en raison de l’opposition du recourant à la nomination des experts sélectionnés par l’intimée. Cette décision ne porte ainsi pas atteinte au droit à la rente du recourant en tant que tel, mais s’inscrit dans le cadre de l’instruction menée par l’intimée pour déterminer si l’état de santé du recourant s’est modifié, le cas échéant de façon suffisamment importante pour justifier une modification du droit à la rente d’invalidité. Ce n’est qu’à l’issue de cette instruction, que l’intimée rendra une décision finale confirmant ou modifiant le droit à la rente du recourant, ce qui pourra constituer une révision de sa rente, que ce soit au sens de l’art. 17 ou 53 LPGA.</w:t>
      </w:r>
    </w:p>
    <w:p>
      <w:r>
        <w:t>A/2139/2015 - 9/14 -</w:t>
      </w:r>
    </w:p>
    <w:p>
      <w:r>
        <w:rPr>
          <w:b/>
        </w:rPr>
        <w:t>E. 5</w:t>
      </w:r>
    </w:p>
    <w:p>
      <w:r>
        <w:t>a) Il convient maintenant d’examiner la question de la validité de la mise en œuvre de l’expertise et de la nomination par l’intimée du Dr H______ en qualité d’expert. b)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 regard et d'une appréciation médicale sur le résultat de l'observation permet d'éviter une évaluation superficielle et hâtive de la documentation fournie par le détective privé.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(arrêt du Tribunal fédéral 8C_779/2012 du 25 juin 2013 consid. 2.3 et les références). c)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Les personnes appelées à rendre ou à préparer des décisions sur des droits ou des obligations doivent se récuser si elles ont un intérêt personnel dans l'affaire ou si, pour d'autres raisons, elles semblent prévenues (art. 36 al. 1 LPGA). En matière de récusation, il convient toutefois de distinguer entre les motifs formels et les motifs matériels. Les motifs de récusation qui sont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 un motif de défiance quant à son impartialité. Bien au contraire, ce grief devra être examiné dans le cadre de l’appréciation des preuves (arrêt du Tribunal fédéral des assurances I 14/04 du 14 mars 2006 consid. 2.2).</w:t>
      </w:r>
    </w:p>
    <w:p>
      <w:r>
        <w:t>A/2139/2015 - 10/14 - Constituent par exemple des motifs matériels de récusation le grief que l'expertise constituerait une « seconde opinion » superflue, un grief contre la forme ou l’étendue de l’expertise, par exemple le choix des disciplines médicales dans une expertise pluridisciplinaire, ou un grief contre l’expert désigné, en ce qui concerne notamment sa compétence professionnelle (ATF 137 V 210 consid. 3.4.2.7 ; ATF 138 V 271 consid. 1.1).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 ATF 125 V 351 consid. 3b/ee ; ATF 123 V 175 consid. 3d ; RAMA 1999 n° U 332 p. 193, U 212/97, consid. 2a/bb et les références).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 ATF 125 II 541 consid. 4).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(ATF 116 Ia 135 consid. 3b ; ATF 126 I 168 consid. 2a). d)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ATF 116 V 307 consid. 2 et les références).</w:t>
      </w:r>
    </w:p>
    <w:p>
      <w:r>
        <w:t>A/2139/2015 - 11/14 - En ce qui concerne l'opportunité,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w:t>
      </w:r>
    </w:p>
    <w:p>
      <w:r>
        <w:rPr>
          <w:b/>
        </w:rPr>
        <w:t>E. 6</w:t>
      </w:r>
    </w:p>
    <w:p>
      <w:r>
        <w:t>En l’espèce, l’intimée s’est vue remettre par ZURICH trois rapports de surveillance dont les conclusions tendent à démontrer que l’état de santé du recourant s’est amélioré. Conformément à la jurisprudence, l’intimée ne s’est pas contentée de ces rapports et a demandé l’avis de son médecin-conseil, le Dr F______, lequel a confirmé une amélioration apparente de l’état de santé du recourant, tout en recommandant la mise en œuvre d’une expertise, dans le but de pouvoir déterminer précisément l’évolution de la situation du recourant. L’intimée a suivi sa recommandation et entrepris les démarches nécessaires à la tenue de cette expertise. Dans le cas présent et compte tenu de l’avis du Dr F______, une expertise est justifiée, ce que le recourant admet, de sorte qu’il n’y a pas lieu de remettre en cause le principe de ladite expertise. Seul demeure litigieux le choix de l’expert. Initialement, l’intimée a proposé au recourant trois experts, soit les Drs C______, G______ et H______. Le recourant s’est formellement opposé à la nomination du Dr C______ et a indiqué souhaiter qu’un complément d’expertise soit demandé au Prof E______ ou à la PMU, dont les rapports avaient été jugé probants par le Tribunal cantonal des assurances sociales dans son arrêt du 27 mai 2008 (ATAS/627/2008). L’intimée a alors remplacé le Dr C______ par le Dr I______, maintenant pour le surplus les choix des Drs G______ et H______. Finalement, le recourant maintenant sa position, l’intimée a unilatéralement pris la décision de nommer en qualité d’expert le Dr H______. Selon elle, il était préférable, dans un souci d’impartialité, que le choix se porte sur un expert n’ayant jamais été sollicité durant la procédure. En l’occurrence, le recourant a invoqué des motifs de récusation à l’encontre du Dr C______, lequel a été écarté par l’intimée. Il n’a en revanche avancé aucun motif de récusation à l’encontre des autres experts proposés par l’intimée, soit les Drs G______, H______ et I______, se contentant de marquer sa préférence pour le Prof E______ ou la PMU. Or, dans le cas présent, rien ne permet de considérer que le choix de confier l’expertise à un médecin n’ayant jamais eu connaissance du dossier aboutit à une solution moins appropriée que le souhait du recourant de demander un complément d’expertise au Prof E______ ou à la PMU.</w:t>
      </w:r>
    </w:p>
    <w:p>
      <w:r>
        <w:t>A/2139/2015 - 12/14 - Quant à l’opportunité de confier l’expertise au Dr H______, aucun motif n’offre la possibilité à la chambre de céans de substituer sa propre appréciation à celle de l’intimée. Par conséquent, en l’absence de motif de récusation ou d’excès du pouvoir d’appréciation de l’intimée, la chambre de céans n’a pas à revoir l’opportunité de la nomination du Dr H______ en qualité d’expert et ne peut que confirmer ce choix.</w:t>
      </w:r>
    </w:p>
    <w:p>
      <w:r>
        <w:rPr>
          <w:b/>
        </w:rPr>
        <w:t>E. 7</w:t>
      </w:r>
    </w:p>
    <w:p>
      <w:r>
        <w:t>Il convient à présent de se prononcer sur les demandes d’injonction et de suspension présentées par l’intimée dans le cadre de sa réponse du 17 août 2015.</w:t>
      </w:r>
    </w:p>
    <w:p>
      <w:r>
        <w:rPr>
          <w:b/>
        </w:rPr>
        <w:t>E. 8</w:t>
      </w:r>
    </w:p>
    <w:p>
      <w:r>
        <w:t>Aux termes de l’art. 43 LPGA,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9</w:t>
      </w:r>
    </w:p>
    <w:p>
      <w:r>
        <w:t>En l’espèce, il n’est pas de la compétence de la chambre de céans de contraindre le recourant à se présenter au cabinet du Dr H______ le 23 octobre 2015 prochain, sous peine de suppression de sa rente d’invalidité dès le 15 juin 2015. La loi attribue cette compétence à l’intimée, à qui il incombe, pour autant qu’elle le décide et dans l’éventualité où le recourant refuserait de manière inexcusable de se conformer aux mesures d’instructions qu’elle diligente, de le mettre en demeure, sous peine des conséquences prévues à l’art. 43 al. 3 LPGA.</w:t>
      </w:r>
    </w:p>
    <w:p>
      <w:r>
        <w:rPr>
          <w:b/>
        </w:rPr>
        <w:t>E. 10</w:t>
      </w:r>
    </w:p>
    <w:p>
      <w:r>
        <w:t>La suspension de la procédure est prononcée par le juge dans les cas prévus par la loi. Elle peut se justifier également par des raisons d’opportunité, notamment lorsque le jugement d’un autre litige peut influencer l’issue du procès en cours (principe d’économie de la procédure). Le principe de célérité, qui découle de l’art. 29 al. 1er de la Constitution fédérale de la Confédération suisse (Cst.) pose cependant des limites à la suspension d’une procédure. Aussi ne doit-elle être admise qu’exceptionnellement, lorsqu’il s’agit d’attendre le prononcé de la décision d’une autre autorité et qui permettrait de trancher une question décisive (ATF 130 V 94 consid. 5).</w:t>
      </w:r>
    </w:p>
    <w:p>
      <w:r>
        <w:rPr>
          <w:b/>
        </w:rPr>
        <w:t>E. 11</w:t>
      </w:r>
    </w:p>
    <w:p>
      <w:r>
        <w:t>En l’espèce, la chambre de céans a été saisie d’un recours contre une décision incidente de nomination d’expert et de suspension de la rente d’invalidité avec retrait de l’effet suspensif. La question dudit retrait a déjà été tranchée dans l’arrêt incident du 14 juillet 2015 (ATAS/549/2015), tandis que la question de la suspension de la rente fera l’objet d’un arrêt ultérieur. Le présent arrêt tranchant la question de la nomination de l’expert, l’intimée est en mesure de poursuivre l’instruction du dossier, y compris grâce à l’expertise du Dr H______. A l’issue de cette instruction, elle devra rendre une décision au fond, relative au droit à la rente</w:t>
      </w:r>
    </w:p>
    <w:p>
      <w:r>
        <w:t>A/2139/2015 - 13/14 - du recourant. Par conséquent, il n’existe aucun motif justifiant la suspension requise.</w:t>
      </w:r>
    </w:p>
    <w:p>
      <w:r>
        <w:rPr>
          <w:b/>
        </w:rPr>
        <w:t>E. 12</w:t>
      </w:r>
    </w:p>
    <w:p>
      <w:r>
        <w:t>Au vu de ce qui précède, le recours est rejeté. Pour le surplus, la procédure est gratuite (art. 61 let. a LPGA).</w:t>
      </w:r>
    </w:p>
    <w:p>
      <w:r>
        <w:t>A/2139/2015 - 14/14 - PAR CES MOTIFS, LA CHAMBRE DES ASSURANCES SOCIALES : Statuant sur partie A la forme : 1. Déclare le recours recevable. Au fond : 2. Le rejette en tant qu’il porte sur la mise en œuvre d’une expertise et sur la nomination du Dr H______ en qualité d’expert. 3. Déclare irrecevable la demande d’injonction de l’intimée. 4. Rejette la demande de suspension de la cause formée par l’intimée. 5. Réserve la suite de la procédure.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