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ATAS/766/2014 vom 24. Juni 2014</w:t>
      </w:r>
    </w:p>
    <w:p>
      <w:r>
        <w:t>GE Cour de justice, 2014-06-24, FR</w:t>
      </w:r>
    </w:p>
    <w:p>
      <w:r>
        <w:rPr>
          <w:b/>
        </w:rPr>
        <w:t xml:space="preserve">Quelle: </w:t>
      </w:r>
      <w:r>
        <w:t>https://mcp.opencaselaw.ch/entscheid/ge_gerichte_ATAS_766_2014</w:t>
      </w:r>
    </w:p>
    <w:p>
      <w:r>
        <w:t>FR: GE_GERICHTE ATAS/766/2014 du 24 juin 2014</w:t>
      </w:r>
    </w:p>
    <w:p>
      <w:r>
        <w:t>IT: GE_GERICHTE ATAS/766/2014 del 24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w:t>
      </w:r>
    </w:p>
    <w:p>
      <w:r>
        <w:t>A/851/2014 - 4/7 -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la restitution de la somme de CHF 11'212,80, représentant les prestations complémentaires versées à tort à hauteur de CHF 10'500.- du 1er mai 2012 au 30 novembre 2013, en raison de l’augmentation de sa rente LPP, et le subside de l’assurance-maladie du mois d’octobre 2013 à hauteur de CHF 712,80.</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w:t>
      </w:r>
    </w:p>
    <w:p>
      <w:r>
        <w:rPr>
          <w:b/>
        </w:rPr>
        <w:t>E. 7</w:t>
      </w:r>
    </w:p>
    <w:p>
      <w:r>
        <w:t>Selon les Directives concernant les prestations complémentaires à l’AVS et à l’AI (DPC), valables dès le 1er avril 2011, état au 1er janvier 2014, n° 3413.01, « Sont déterminants pour le calcul de la PC annuelle les revenus obtenus au cours de l’année civile précédente, ou les revenus probables convertis en revenu annuel, et l’état de la fortune au 1er janvier de l’année pour laquelle la prestation est servie. Sont réservées les exceptions selon les nos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no 3641.01 subit un changement ».</w:t>
      </w:r>
    </w:p>
    <w:p>
      <w:r>
        <w:t>A/851/2014 - 5/7 -</w:t>
      </w:r>
    </w:p>
    <w:p>
      <w:r>
        <w:rPr>
          <w:b/>
        </w:rPr>
        <w:t>E. 8</w:t>
      </w:r>
    </w:p>
    <w:p>
      <w:r>
        <w:t>L'article 20 de la loi d'application de la loi fédérale sur l'assurance maladie (LaLAMal; J 3 05), prévoit que les assurés bénéficiaires de prestations complémentaires sont des ayants droits au subside accordé par le canton en application de l'article 19 de la loi. Selon l'article 22, le montant du subside est égal au montant de la prime d'assurance obligatoire des soins, mais au maximum au montant correspondant à la prime moyenne cantonale fixée par le département fédéral de l'intérieur.</w:t>
      </w:r>
    </w:p>
    <w:p>
      <w:r>
        <w:rPr>
          <w:b/>
        </w:rPr>
        <w:t>E. 9</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10</w:t>
      </w:r>
    </w:p>
    <w:p>
      <w:r>
        <w:t>S’agissant des subsides, l’art. 33 al. 2 LaLAMal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w:t>
      </w:r>
    </w:p>
    <w:p>
      <w:r>
        <w:rPr>
          <w:b/>
        </w:rPr>
        <w:t>E. 11</w:t>
      </w:r>
    </w:p>
    <w:p>
      <w:r>
        <w:t>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w:t>
      </w:r>
    </w:p>
    <w:p>
      <w:r>
        <w:rPr>
          <w:b/>
        </w:rPr>
        <w:t>E. 12</w:t>
      </w:r>
    </w:p>
    <w:p>
      <w:r>
        <w:t>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w:t>
      </w:r>
    </w:p>
    <w:p>
      <w:r>
        <w:t>A/851/2014 - 6/7 -</w:t>
      </w:r>
    </w:p>
    <w:p>
      <w:r>
        <w:rPr>
          <w:b/>
        </w:rPr>
        <w:t>E. 13</w:t>
      </w:r>
    </w:p>
    <w:p>
      <w:r>
        <w:t>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14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15</w:t>
      </w:r>
    </w:p>
    <w:p>
      <w:r>
        <w:t>En l'espèce, le SPC a procédé à un nouveau calcul des prestations complémentaires dues à l’intéressée, compte tenu de la décision rendue par la CIEPP le 30 août 2013, aux termes de laquelle un solde de CHF 8'960.-, portant sur la période du 1er mai 2012 au 31 août 2013, devait lui être versé. Ce montant de CHF 8'960.- est le résultat de la différence entre les rentes d’invalidité dues, soit 16 x CHF 1'803.-, et les rentes déjà servies, soit 16 x CHF 1'243.-. Cette décision a été communiquée au SPC le 27 janvier 2014, selon le timbre apposé sur la pièce y relative. En réclamant le 22 novembre 2013 la restitution des prestations versées à tort depuis le 1er mai 2012, le SPC a agi dans les délais d’un an dès la connaissance du fait et de cinq ans dès le versement de la prestation (art. 25 LPGA). Aussi le recours est-il rejeté, étant précisé que la demande de remise devra encore être examinée par le SPC aussitôt le présent arrêt entré en force.</w:t>
      </w:r>
    </w:p>
    <w:p>
      <w:r>
        <w:t>A/851/2014 - 7/7 -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