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ATAS/765/2024 vom 8. Oktober 2024</w:t>
      </w:r>
    </w:p>
    <w:p>
      <w:r>
        <w:t>GE Cour de justice, 2024-10-08, FR</w:t>
      </w:r>
    </w:p>
    <w:p>
      <w:r>
        <w:rPr>
          <w:b/>
        </w:rPr>
        <w:t xml:space="preserve">Quelle: </w:t>
      </w:r>
      <w:r>
        <w:t>https://mcp.opencaselaw.ch/entscheid/ge_gerichte_ATAS_765_2024</w:t>
      </w:r>
    </w:p>
    <w:p>
      <w:r>
        <w:t>FR: GE_GERICHTE ATAS/765/2024 du 8 octobre 2024</w:t>
      </w:r>
    </w:p>
    <w:p>
      <w:r>
        <w:t>IT: GE_GERICHTE ATAS/765/2024 del 8 ottobre 2024</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Nr. 1______, conclue par l'employeur et la défenderesse, le contrat porte sur une assurance collective d'indemnités journalières et est régi par les conditions générales dans leur édition d'octobre 2018 (ci-après : CGA) et la LCA. La compétence de la chambre de céans à raison de la matière pour juger du cas d’espèce est ainsi établie.</w:t>
      </w:r>
    </w:p>
    <w:p>
      <w:r>
        <w:rPr>
          <w:b/>
        </w:rPr>
        <w:t>E. 1.1.1</w:t>
      </w:r>
    </w:p>
    <w:p>
      <w:r>
        <w:t>S'agissant de la compétence à raison du lieu, l'art. 31 CPC prévoit que le tribunal du domicile ou du siège du défendeur ou celui du lieu où la prestation</w:t>
      </w:r>
    </w:p>
    <w:p>
      <w:r>
        <w:t>A/848/2024 - 6/12 - caractéristique doit être exécutée est compétent pour statuer sur les actions découlant d'un contrat. Selon l'art. 17 CPC,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L'art. 18 CPC prévoit que, sauf disposition contraire de la loi, le tribunal saisi est compétent lorsque le défendeur procède sans faire de réserve sur la compétence. Les fors de l'art. 31 CPC ne sont pas obligatoires et restent subsidiaires aux fors spéciaux, tels que ceux prévus aux art. 32 ss CPC. Il est également possible de s'écarter des fors de l'art. 31 CPC par accord (art. 17 CPC) ou par acception (art. 18 CPC – HÄBERLI/HUSMANN, Krankentaggeld, versicherungs- und arbeitsrechtliche Aspekte, 2015, n. 910, p. 270).</w:t>
      </w:r>
    </w:p>
    <w:p>
      <w:r>
        <w:rPr>
          <w:b/>
        </w:rPr>
        <w:t>E. 1.1.2</w:t>
      </w:r>
    </w:p>
    <w:p>
      <w:r>
        <w:t>L'art. 158 de l’ordonnance sur la surveillance des entreprises d’assurance privées du 9 novembre 2005 (Ordonnance sur la surveillance, OS - RS 961.011) prévoit que lorsqu'elles concluent un contrat collectif d'assurance-maladie d'indemnités journalières avec un employeur, les entreprises d'assurance sont tenues de prévoir un for au lieu de travail du travailleur, en sus du for spécial. Cette disposition n'a de sens que si les assurés non parties au contrat peuvent également se prévaloir de la clause de for correspondante (Christoph HÄBERLI/David HUSMANN, Krankentaggeld, versicherungs- und arbeitsrechtliche Aspekte, 2015, n 918 p. 272)</w:t>
      </w:r>
    </w:p>
    <w:p>
      <w:r>
        <w:rPr>
          <w:b/>
        </w:rPr>
        <w:t>E. 1.1.3</w:t>
      </w:r>
    </w:p>
    <w:p>
      <w:r>
        <w:t>En l'occurrence, l'art. A9.2 CGA dispose que les tribunaux suisses ordinaires sont compétents pour juger les litiges relevant du contrat d'assurance. On peut s'interroger sur le point de savoir si l'art. A9.2 CGA, lu conjointement avec l'art. 158 OS, crée un for alternatif pour la demanderesse, en sa qualité d'assurée, au siège de son lieu de travail, en sus du for ordinaire de l'art. 31 CPC. Cette question peut néanmoins rester indécise, dans la mesure où la défenderesse n'a pas soulevé l'incompétence de la chambre de céans à raison du lieu, acceptant ainsi tacitement le for à Genève. Par conséquent, la chambre de céans est compétente à raison du lieu pour connaître de la présente demande.</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t>A/848/2024 - 7/12 -</w:t>
      </w:r>
    </w:p>
    <w:p>
      <w:r>
        <w:rPr>
          <w:b/>
        </w:rPr>
        <w:t>E. 3</w:t>
      </w:r>
    </w:p>
    <w:p>
      <w:r>
        <w:t>Selon l'art. 244 al. 1 CPC, la demande peut être déposée dans les formes prescrites à l'art. 130 ou dictée au procès-verbal au tribunal. Elle contient la désignation des parties (let. a), les conclusions (let. b), la description de l'objet du litige (let. c), si nécessaire, l'indication de la valeur litigieuse (let. d), la date et la signature (let. d).</w:t>
      </w:r>
    </w:p>
    <w:p>
      <w:r>
        <w:rPr>
          <w:b/>
        </w:rPr>
        <w:t>E. 4</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5</w:t>
      </w:r>
    </w:p>
    <w:p>
      <w:r>
        <w:t>En vertu de l'art. 59 al. 1 CPC, le tribunal n'entre en matière que sur les demandes et les requêtes qui satisfont aux conditions de recevabilité de l'action. L'art. 60 CPC précise que le tribunal examine d'office si les conditions de recevabilité sont remplies.</w:t>
      </w:r>
    </w:p>
    <w:p>
      <w:r>
        <w:rPr>
          <w:b/>
        </w:rPr>
        <w:t>E. 6.1</w:t>
      </w:r>
    </w:p>
    <w:p>
      <w:r>
        <w:t>L'art. 84 al. 2 CPC prévoit que l'action tendant au paiement d'une somme d'argent doit être chiffrée. Il s'agit d'une condition de recevabilité, que le juge doit examiner d'office (arrêt du Tribunal fédéral 4A_235/2016 du 7 mars 2017 consid. 2.1). Si d'après les conclusions présentées, le Tribunal fédéral se trouvait requis de fixer lui-même le montant réclamé, le recours était irrecevable (ATF 134 III 325 consid 2 ; arrêt du Tribunal fédéral 4A_107/2008 du 5 juin 2008 consid. 2.2). Le chef de conclusion tendant à condamner la défenderesse à exécuter les prestations découlant du contrat d'assurance est en réalité une conclusion en paiement, dès lors qu'une exécution en nature n'est pas envisageable (arrêt du Tribunal fédéral 4A_618/2017 du 11 janvier 2018 consid. 4.1).</w:t>
      </w:r>
    </w:p>
    <w:p>
      <w:r>
        <w:t>A/848/2024 - 8/12 -</w:t>
      </w:r>
    </w:p>
    <w:p>
      <w:r>
        <w:rPr>
          <w:b/>
        </w:rPr>
        <w:t>E. 6.2</w:t>
      </w:r>
    </w:p>
    <w:p>
      <w:r>
        <w:t>L'art. 85 CPC prévoit que si le demandeur est dans l'impossibilité d'articuler d'entrée de cause le montant de sa prétention ou si cette indication ne peut être exigée d’emblée, il peut intenter une action non chiffrée. Il doit cependant indiquer une valeur minimale comme valeur litigieuse provisoire. Il incombe toutefois au demandeur qui formule une conclusion en paiement non chiffrée de démontrer dans quelle mesure il n'est pas possible, ou du moins pas exigible d'indiquer d'entrée de cause le montant de sa prétention (ATF 140 III 409 consid. 4.3.1 et 4.3.2 ; arrêt du Tribunal fédéral 4A_618/2017 du 11 janvier 2018 consid. 4.2). Ni le devoir d'interpellation, ni la maxime inquisitoire sociale applicable à la procédure (art. 247 al. 2 let. a CPC en lien avec l'art. 243 al. 2 let. f CPC), selon laquelle le juge établit les faits d’office, ne s’opposent à ce qu’une demande soit déclarée irrecevable en raison d'une motivation insuffisante ou de conclusions mal formulées (arrêt du Tribunal fédéral 4A_618/2017 du 11 janvier 2018 consid. 4.3.1 et 4.3.2).</w:t>
      </w:r>
    </w:p>
    <w:p>
      <w:r>
        <w:rPr>
          <w:b/>
        </w:rPr>
        <w:t>E. 6.3</w:t>
      </w:r>
    </w:p>
    <w:p>
      <w:r>
        <w:t>Dans un arrêt du 27 juillet 2017, le Tribunal fédéral a considéré que les conclusions d’un assuré tendant à ce que l’assureur fut condamné à lui verser rétroactivement et de manière continue toutes les indemnités journalières (« rückwirkend ab [ ] und fortdauernd das ganze Krankentaggeld auszurichten ») ne remplissaient pas les conditions d’une action en paiement non chiffrée au sens de l’art. 85 al. 1 CPC. Après avoir rappelé que l’action tendant au paiement d’une somme d’argent devait être chiffrée (art. 84 al. 2 CPC), ce qui n’était pas le cas dans l’espèce à juger, il a laissé indécis le point de savoir si la juridiction cantonale aurait dû entrer en matière sur le chef de conclusion précité (arrêt du Tribunal fédéral 4A_110/2017 du 27 juillet 2017 consid. 1.3). Dans un autre arrêt, le Tribunal fédéral a considéré que la juridiction cantonale pouvait, sans violer le droit, déclarer irrecevable le chef de conclusion « visant le paiement des prestations découlant du contrat d'assurance », dès lors qu’on ne discernait pas en quoi le calcul des indemnités journalières dues à l’assurée, déduction faite de celles qui lui avaient déjà été versées, apparaissait compliqué au point de confiner à l'impossibilité (arrêt du Tribunal fédéral 4A_618/2017 du</w:t>
      </w:r>
    </w:p>
    <w:p>
      <w:r>
        <w:rPr>
          <w:b/>
        </w:rPr>
        <w:t>E. 11</w:t>
      </w:r>
    </w:p>
    <w:p>
      <w:r>
        <w:t>Pour le surplus, il n'est pas alloué de dépens à la charge du demandeur/de la demanderesse (art. 22 al. 3 let. b de la loi d'application du code civil suisse et d’autres lois fédérales en matière civile du 11 octobre 2012 [LaCC - E 1 05]) ni perçu de frais judiciaires (art. 114 let. e CPC).</w:t>
      </w:r>
    </w:p>
    <w:p>
      <w:r>
        <w:t>A/848/2024 - 12/12 -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