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ATAS/765/2022 vom 29. August 2022</w:t>
      </w:r>
    </w:p>
    <w:p>
      <w:r>
        <w:t>GE Cour de justice, 2022-08-29, FR</w:t>
      </w:r>
    </w:p>
    <w:p>
      <w:r>
        <w:rPr>
          <w:b/>
        </w:rPr>
        <w:t xml:space="preserve">Quelle: </w:t>
      </w:r>
      <w:r>
        <w:t>https://mcp.opencaselaw.ch/entscheid/ge_gerichte_ATAS_765_2022</w:t>
      </w:r>
    </w:p>
    <w:p>
      <w:r>
        <w:t>FR: GE_GERICHTE ATAS/765/2022 du 29 août 2022</w:t>
      </w:r>
    </w:p>
    <w:p>
      <w:r>
        <w:t>IT: GE_GERICHTE ATAS/765/2022 del 29 agosto 2022</w:t>
      </w:r>
    </w:p>
    <w:p>
      <w:pPr>
        <w:pStyle w:val="Heading2"/>
      </w:pPr>
      <w:r>
        <w:t>Erwägungen</w:t>
      </w:r>
    </w:p>
    <w:p>
      <w:r>
        <w:rPr>
          <w:b/>
        </w:rPr>
        <w:t>E. 11</w:t>
      </w:r>
    </w:p>
    <w:p>
      <w:r>
        <w:t>janvier 2021 pour les mêmes motifs que ceux de sa décision sur opposition du 22 décembre 2020. La perte de travail n’était ni établie, ni inévitable dès lors que l’employeur n’avait pas allégué avoir essayé d’élargir son domaine d’activités, alors que son but social l’aurait permis, les conseils dans le domaine financier, notamment dans la gestion de biens, dont leur stockage, devant être particulièrement nombreux, voire plus fréquents, qu’avant la crise du COVID-19. E. a. La société a interjeté recours auprès de la chambre des assurances sociales de la Cour de justice (ci-après : CJCAS) contre les deux décisions sur opposition, respectivement les 6 janvier 2021 et 5 février 2021 et repris son argumentation sur opposition. Elle a relevé que la réduction des affaires était temporaire et en lien avec le ralentissement économique mondial, sur lequel elle n’avait aucune prise, et il n’était pas envisageable de licencier l’un ou l’autre des collaborateurs, dont le rôle était spécifique et indispensable quelle que soit la charge de travail, en sorte que le bulletin LACI RHT janvier 2020 points C3 et C9 ne pouvait pas être invoqué. La perte de chiffre d’affaires donnait droit à l’indemnité en cas de RHT selon l’art. 2.2 de la directive 15 du Secrétariat d’État à l’économie (ci-après : SECO). Les deux recours ont été enregistrés sous les numéros de cause A/55/2021 et A/423/2021. b. Dans ses réponses des 8 et 26 février 2021, l’OCE a conclu au rejet des recours, rappelant que selon la Directive n°1 du 20 janvier 2021 du SECO, remplaçant la Directive 2020/15 du 30 octobre 2020, l’obligation de diminuer le dommage s’exprimait par celle de reprendre une activité normale dès que possible. c. Le 16 décembre 2021, la chambre de céans a ordonné la jonction des procédures A/55/2021 et A/423/2021 sous le numéro de cause A/55/2021. d. Par courrier du 16 mai 2022, faisant suite à celui de la chambre de céans du 25 avril 2022, la société a notamment communiqué à la CJCAS les contrats de travail des employés concernés par les recours et les états financiers pour les années 2019 et 2020. Si la quantité de dossiers était demeurée similaire, elle avait perdu plusieurs affaires, dont deux qui avaient entraîné une perte importante de revenus mensuels, rendant la couverture des charges impossibles. Le confinement, puis les restrictions de travail et de voyages avaient profondément limité les déplacements et les recherches d’affaires, alors que son domaine d’activités imposait la création d’un lien de confiance lié à des contacts humains directs et suivis. Le ralentissement mondial de l’échange des matières premières avait accentué les difficultés.</w:t>
      </w:r>
    </w:p>
    <w:p>
      <w:r>
        <w:t>A/55/2021 - 5/13 - e. À l’audience de la chambre de céans du 15 août 2022, Monsieur E_____, directeur de la société de sa création à juillet 2022, a expliqué qu’elle était spécialisée dans le service de support aux banques et aux traders aux fins de sécuriser les échanges et le stockage des matières premières, notamment dans les pays dits « sensibles ». La société fonctionnait en qualité de tiers-détenteur dans le cadre de la sécurisation des crédits bancaires et assurait la supervision de la réception des navires de transport, le transfert des produits, le suivi du stockage et de la relâche des matières premières. Le centre de coordination des ordres, des opérations et du montage des aspects légaux se trouvait à Genève, en contact avec le réseau sur le terrain. Le coordinateur à Genève était en contact avec le trader et servait d’intermédiaire avec le vendeur, ce qui impliquait des contacts directs et en personne, au regard des montants contractuels en jeu, certains de l’ordre de USD 10'000'000.-. Leurs clients se situaient en Suisse, mais également en Europe et ailleurs dans le monde, et les séances n’avaient plus été possibles en raison du confinement, puis difficiles durant le déconfinement progressif. En outre, durant la période concernée, le commerce mondial était figé et les banques frileuses, en sorte que les traders avaient moins d’affaires, donc moins de raisons de s’adresser à la société, qui avait ainsi moins de dossiers à gérer. Les matières premières qui ne faisaient pas l’objet d’un contrat étaient restées en mains des vendeurs, qui n’avaient aucun motif de lui demander de les stocker, en sorte que la société ne pouvait pas élargir son activité de stockage. Son activité économique avait connu un fléchissement, ce qui justifiait l’octroi de l’indemnité en cas de RHT. Elle avait licencié en mars 2020 la seule personne dont le poste pouvait être supprimé. La représentante de la société, Mme B______, a ajouté que celle-ci faisait partie des deux ou trois sociétés de « collateral management » dans le monde et n’avait pas d’autre produit à développer. Les difficultés rencontrées durant la période en question étaient consécutives aux contingentements des matières premières et des restrictions de transports, en sorte que les conditions d’octroi de l’indemnité en cas de RHT étaient réalisées. La représentante de l’OCE s’est étonnée de l’analyse de la société puisqu’en septembre 2020, il n’y avait plus de mesures de confinement. Cela étant, il conviendrait de s’assurer que les décomptes ont été envoyés en temps utiles, dans l’hypothèse où la CJCAS devait admettre les recours. Sur ce, la cause a été gardée à juger d’entente avec les parties, qui ont persisté dans leurs conclusions.</w:t>
      </w:r>
    </w:p>
    <w:p>
      <w:r>
        <w:t>EN DROIT 1. Conformément à l'art. 134 al. 1 let. a ch. 8 de la loi sur l'organisation judiciaire, du 26 septembre 2010 (LOJ - E 2 05), la chambre des assurances sociales de la Cour de justice connaît, en instance unique, des contestations prévues à l'art. 56 de la loi</w:t>
      </w:r>
    </w:p>
    <w:p>
      <w:r>
        <w:t>A/55/2021 - 6/13 -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Interjetés dans la forme et le délai prévus par la loi, les recours sont recevables (art. 56 ss LPGA et 62 ss LPA). 3. Le litige porte sur le droit de la recourante à une indemnité en cas de RHT pour la période du 1er septembre 2020 au 31 décembre 2020, puis dès le 6 janvier 2021. 4.</w:t>
      </w:r>
    </w:p>
    <w:p>
      <w:r>
        <w:t>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de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4.2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Une perte de travail est prise en considération lorsqu’elle est due, entre autres conditions, à des facteurs économiques et qu’elle est inévitable (art. 32 al. 1 let. a LACI). Ces conditions sont cumulatives (ATF 121 V 371 consid. 2a). Le</w:t>
      </w:r>
    </w:p>
    <w:p>
      <w:r>
        <w:t>A/55/2021 - 7/13 - recul de la demande des biens ou des services normalement proposés par l’entreprise concernée est caractéristique pour apprécier l’existence d’un facteur économique (DTA 1985 p. 109, consid. 3a). L’art. 32 al. 3, 1ère phrase,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4.3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considérées comme des risques normaux d’exploitation au sens de l’art. 33 al. 1 let. a LACI les pertes de travail habituelles, c’est-à-dire celles qui, d’après l’expérience de la vie, surviennent périodiquement</w:t>
      </w:r>
    </w:p>
    <w:p>
      <w:r>
        <w:t>A/55/2021 - 8/13 -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 5.</w:t>
      </w:r>
    </w:p>
    <w:p>
      <w:r>
        <w:t>5.1 En raison de la propagation du Coronavirus,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w:t>
      </w:r>
    </w:p>
    <w:p>
      <w:r>
        <w:rPr>
          <w:b/>
        </w:rPr>
        <w:t>E. 13</w:t>
      </w:r>
    </w:p>
    <w:p>
      <w:r>
        <w:t>mars 2020 (ordonnance 2 COVID-19 ; RS 818.101.24 ; RO 2020 773). À la suite des mesures prises par le Conseil fédéral sur la base de ces ordonnances, il y a eu de nombreuses annulations de vols et des restrictions de voyager, de sorte que les clients internationaux ne se sont plus déplacés à Genève et les expositions internationales, congrès et autres événements de masse prévus au printemps 2020 ont été annulés (cf. ATAS/920/2021 du 10 septembre 2021 consid. 4.4). 5.2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w:t>
      </w:r>
    </w:p>
    <w:p>
      <w:r>
        <w:t>A/55/2021 - 9/13 - 1er mars 2020 (art. 9 al. 1), qui prévoyait, à son art. 8b al. 1 que l’employeur n’était pas tenu de respecter un délai de préavis, lorsqu’il avait l’intention de requérir l’indemnité en cas de RHT en faveur de ses travailleurs. Cette disposition a été abrogée avec effet au 1er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RHT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L’art. 17b al. 1 est entré en vigueur rétroactivement le 1er septembre 2020 (RO 2021 153). Aucune modification n’a toutefois été apportée aux critères relatifs à la perte de travail à prendre en considération (art. 31 al. 1 let. b et 32 al. 1 et 3 LACI). 6. Dans la décision entreprise, l’intimé s’est opposé au paiement de l’indemnité en cas de RHT, aux motifs que la recourante n’avait pas été contrainte d’arrêter son activité à la suite d’une décision administrative, ni n’avait été directement touchée par les mesures sanitaires liées au COVID-19. En outre, la perte de travail et de chiffre d’affaires, en plus de ne pas être avérée, n’était pas inévitable. Il a considéré que la recourante aurait pu élargir son domaine d'activités étant donné son but social, par exemple en proposant de nouveaux produits ou en prospectant de nouveaux marchés, ce qu'elle n'avait absolument pas allégué avoir fait. Les conseils dans le domaine financier, notamment dans la gestion de biens, en particulier de stocks, devaient être nombreux, voire encore plus demandés qu’avant la crise du COVID-19. 6.1 Il convient en premier lieu d’examiner si la recourante a subi une perte de travail. La recourante intervient en qualité de tiers-détenteur dans le cadre d’acquisition de matières premières, son activité consistant à sécuriser le financement bancaire octroyé au trader en assurant, pour le compte de l’établissement bancaire, la réception, le stockage et le transfert des produits, ainsi que la gestion des relâches. Elle est mandatée par des clients, basés en Suisse ou ailleurs dans le monde, et coordonne depuis ses locaux à Genève la conclusion des contrats et les opérations à ordonner. La responsabilité principale de l’employée titulaire du brevet d’avocat</w:t>
      </w:r>
    </w:p>
    <w:p>
      <w:r>
        <w:t>A/55/2021 - 10/13 - était d’assurer le montage des aspects légaux, notamment la rédaction de contrats, et celles des deux autres collaborateurs concernés par la demande d’assurer la coordination opérationnelle, la compatibilité et l’administratif. Dans ses décisions sur opposition des 22 décembre 2020 et 26 janvier 2021, l’intimé conteste l'existence d'une perte de travail. Or, la recourante a exposé, dans le cadre de ses écritures, pièces à l’appui, et sans être contredite par l’intimé, avoir perdu plusieurs affaires dont deux importants contrats, facturés entre CHF 12'000.- et CHF 30'000.- par mois, et que les trois employés concernés n’avaient plus que la moitié de leurs dossiers à gérer, sans entrées de nouveaux contrats. Son chiffre d’affaires pour l’année 2020 avait chuté de 24 % par rapport à l’année 2019. Au vu des descriptions des postes des employés concernés par les demandes de RHT, force est d'admettre - au degré de la vraisemblance prépondérante - que la résiliation, voire la suspension, de plus de la moitié des mandats de la société a entraîné une baisse importante d'activités pour lesdits employés. À cela s'ajoute que les rencontres en présentiel, qui constituent une part indispensable de l'activité de la recourante pour les mandats à conclure et en cours, n’ont pas pu se faire, diminuant ainsi encore la charge de travail des employés. La baisse des activités de la recourante s'est d'ailleurs traduite par une baisse du produit net de ses prestations de service, les états financiers révélant un montant de CHF 935'147.- pour l’année 2020 et de CHF 1'229'129.- pour l’année 2019. Compte tenu de ces éléments, l’existence d’une perte de travail doit être admise dans le cas de la recourante. 6.2 Il convient ensuite d’examiner si la perte de travail est consécutive à des mesures prises par les autorités. Il n’est pas contesté que l’activité de la société consiste à sécuriser le financement fourni par ses clients (traders et banques) de matières premières, en assurant leur réception, leur stockage et leur libération en temps opportun. À cette fin, elle a expliqué devoir rencontrer en personne ses mandataires, tant dans le cadre des visites de présentation que dans celles de suivi, les responsabilités engagées étant considérables et la confiance primordiale. Or, le confinement suivi des restrictions de voyager, n’ont pas permis aux parties de se rencontrer. Or, si l'organisation de visioconférences peut parfois se révéler efficace pour entretenir des relations avec la clientèle, les technologies digitales atteignent leurs limites lorsqu'il s'agit de mettre des interlocuteurs en relation en vue d'une éventuelle collaboration professionnelle, ce d’autant dans un marché aussi sensible que celui des matières premières, pouvant atteindre des montants très importants. Ainsi, compte tenu de ce contexte, des difficultés liées au transport des matières premières et de l'incertitude quant à l'évolution de la crise sanitaire, les clients de la recourante ont décidé de ne pas envisager de nouveaux contrats et, pour certains de résilier les</w:t>
      </w:r>
    </w:p>
    <w:p>
      <w:r>
        <w:t>A/55/2021 - 11/13 - mandats conclus avec la recourante, ce qui a entraîné des conséquences directes sur son activité. Les conditions pour la reconnaissance d’un cas de rigueur au sens des art. 32 al. 3 LACI et 51 OACI, dont la liste n’est pas exhaustive, doivent partant être considérées comme étant réalisées. 6.3 Néanmoins, même dans un tel cas de figure, l’indemnisation est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du dommage. Comme exposé, cette dernière condition est l’expression de l’obligation de diminuer le dommage voulant que l’employeur prenne toutes les mesures raisonnables pour éviter la perte de travail. S’agissant de l’art. 33 al. 1 let. a LACI, il n’est pas contesté, ni contestable, que la pandémie de COVID-19 constitue une circonstance exceptionnelle dépassant le cadre du risque normal d’exploitation à la charge de l’employeur (cf. Directive SECO 2020/15 du 30 octobre 2020). Il convient en effet d’admettre la présence de circonstances exceptionnelles non liées aux risques d’exploitation d’une entreprise. Reste à examiner si, comme le prétend l’intimé, la recourante aurait pu éviter les pertes de travail par des mesures appropriées et économiquement supportables. Dans la décision entreprise, l'intimé a considéré que la recourante aurait dû essayer d'élargir son domaine d'activités, notamment en offrant ses services en matière de stockage, puisque si les matières premières ne se vendaient plus, elles existaient néanmoins et devaient être stockées. Au regard des explications de la recourante et de son ancien directeur, ce point de vue ne convainc pas. En effet, si les marchandises existaient certes, les vendeurs n’avaient néanmoins aucun motif de recourir à ses services en vue de les stocker, puisqu’en dehors de leurs achats par les traders et/ou les établissements bancaires, elles ne changeaient pas de propriétaires et pouvaient donc rester stockées selon les dispositions qu’ils avaient déjà prises sur place. Pour le surplus, dès lors que l’activité principale de la recourante est particulièrement ciblée et vise un marché tout particulier, toute autre modification d’activités paraît peu réaliste, sauf à perdre de vue que le but de l’indemnité en cas de RHT est principalement de maintenir des emplois en cas de baisse temporaire de l’activité et non d’indemniser les pertes de travail durables. Les conditions posées par la loi pour lui accorder des indemnités en cas de RHT sont ainsi réunies. Dans la mesure où le formulaire de préavis a été transmis le 1er septembre 2020, pour des indemnités en cas de RHT du 1er septembre au 31 décembre 2020,</w:t>
      </w:r>
    </w:p>
    <w:p>
      <w:r>
        <w:t>A/55/2021 - 12/13 - l’indemnité en cas de RHT doit être accordée dès ce jour-là en application de l’art. 17b al. 1 de la loi COVID-19, entré en vigueur avec effet rétroactif au 1er septembre 2020, puis dès le 1er janvier 2021 jusqu’au 30 mars 2021, la demande y relative ayant été déposée le 10 novembre 2020. 7. Les recours seront donc admis et les décisions litigieuses modifiées en ce sens que la recourante a droit à l’indemnité en cas de RHT, du 1er septembre 2020 au 31 mars 2021, sous réserve de l’examen par la caisse de chômage des conditions conformément à l’art. 39 LACI. Bien qu’obtenant partiellement gain de cause, la recourante, qui n’est pas représentée en justice et qui n’a pas allégué avoir déployé des efforts dépassant la mesure de ce que tout un chacun consacre à la gestion courante de ses affaires, n’a pas droit à des dépens. Pour le surplus, en l’absence de loi spéciale prévoyant des frais judiciaires, la procédure est gratuite (art. 61 let. fbis LPGA en lien avec l’art. 1 al. 1 LACI). * * * * * *</w:t>
      </w:r>
    </w:p>
    <w:p>
      <w:r>
        <w:t>A/55/2021 - 13/13 -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