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ATAS/765/2019 vom 27. August 2019</w:t>
      </w:r>
    </w:p>
    <w:p>
      <w:r>
        <w:t>GE Cour de justice, 2019-08-27, FR</w:t>
      </w:r>
    </w:p>
    <w:p>
      <w:r>
        <w:rPr>
          <w:b/>
        </w:rPr>
        <w:t xml:space="preserve">Quelle: </w:t>
      </w:r>
      <w:r>
        <w:t>https://mcp.opencaselaw.ch/entscheid/ge_gerichte_ATAS_765_2019</w:t>
      </w:r>
    </w:p>
    <w:p>
      <w:r>
        <w:t>FR: GE_GERICHTE ATAS/765/2019 du 27 août 2019</w:t>
      </w:r>
    </w:p>
    <w:p>
      <w:r>
        <w:t>IT: GE_GERICHTE ATAS/765/2019 del 27 agosto 2019</w:t>
      </w:r>
    </w:p>
    <w:p>
      <w:pPr>
        <w:pStyle w:val="Heading2"/>
      </w:pPr>
      <w:r>
        <w:t>Erwägungen</w:t>
      </w:r>
    </w:p>
    <w:p>
      <w:r>
        <w:rPr>
          <w:b/>
        </w:rPr>
        <w:t>E. 47</w:t>
      </w:r>
    </w:p>
    <w:p>
      <w:r>
        <w:t>Le 8 juillet 2018, l’assuré (ci-après : le recourant), agissant en personne, a interjeté recours contre la décision sur opposition du 11 juin 2018, concluant à son annulation et, cela fait, à la réalisation d’une expertise, à la poursuite du versement des indemnités accidents avec effet rétroactif et à la notification d’un nouveau projet de décision selon la réalité économique, en considérant sa proposition de suivre un cours en vue de l’obtention de la patente des cafetiers-restaurateurs, ou de reprendre un kiosque. À l’appui de ses conclusions, le recourant a notamment expliqué qu’il avait fait tout ce que la SUVA et l’OAI lui avaient demandé alors que ces derniers n’avaient jamais investigué ses propositions, notamment celle de passer la patente de cafetier- restaurateur. Par ailleurs, la SUVA et l’OAI avaient requis des mesures pour ne finalement pas suivre leurs conclusions. Procédant à un « copier-coller » de passages de son recours contre la décision de l’OAI du 6 juin 2018, le recourant a en substance critiqué l’OAI et les assurances sociales en général, les qualifiant notamment d’« affairistes », et a rappelé qu’il était en incapacité totale de travailler depuis le 28 août 2018, que les médecins ayant émis les certificats étaient diplômés en médecine et que s’il avait simulé une atteinte, ils ne lui auraient pas délivré lesdits certificats. Se référant à des archives télévisées et des articles de presse, le recourant a également contesté l’impartialité des médecins mandatés par la SUVA et l’OAI, et a conclu à la réalisation d’une expertise indépendante. Il a, par ailleurs, reproché à la SUVA de ne pas avoir pris en charge un cours de français, de ne pas l’avoir mis au bénéfice d’une mesure professionnelle devant lui permettre de passer la patente de cafetier-restaurateur et de n’avoir procédé qu’à une comparaison des revenus. Enfin, le recourant a demandé que ses propositions relatives à l’obtention de la patente de cafetiers-restaurateurs et à la reprise d’un magasin, et plus particulièrement d’un kiosque soient examinées.</w:t>
      </w:r>
    </w:p>
    <w:p>
      <w:r>
        <w:rPr>
          <w:b/>
        </w:rPr>
        <w:t>E. 48</w:t>
      </w:r>
    </w:p>
    <w:p>
      <w:r>
        <w:t>La SUVA (ci-après : l’intimée) a répondu le 3 septembre 2018 sous la plume de son conseil, et a conclu, sous suite de frais et dépens, au rejet du recours et à la confirmation de la décision sur opposition, En premier lieu, l’intimée a considéré que l’appréciation de la Dresse I______ était claire et bien étayée et qu’elle répondait aux réquisits jurisprudentiels en matière de valeur probante. Quant aux certificats de la Dresse G______, ils ne permettaient pas de s’écarter des conclusions de la Dresse I______, dès lors qu’ils ne précisaient pas si l’incapacité de travail, au sujet de laquelle le médecin traitant ne donnait aucune explication, portait sur l’activité habituelle ou sur l’activité adaptée. S’agissant des conclusions des EPI, elles devaient être appréciées dans le contexte d’une certaine forme d’accentuation des plaintes, d’un catastrophisme élevé et d’une autolimitation de l’assuré, alors que ni les constatations cliniques ni l’imagerie ne permettaient d’expliquer les plaintes et les limitations fonctionnelles, comme cela ressortait du rapport de la CRR du 25 février 2016. L’intimée relevait également que des facteurs extra-médicaux venaient s’ajouter aux éléments qui précédaient.</w:t>
      </w:r>
    </w:p>
    <w:p>
      <w:r>
        <w:t>A/2354/2018 - 10/25 - Cela étant, dans tous les cas, l’appréciation des EPI ne pouvait supplanter les avis médicaux et notamment celui de la Dresse I______. Ensuite, la SUVA a rappelé qu’elle n’avait pas la compétence de décider et le cas échéant, de mettre en œuvre des mesures de réinsertion professionnelle, de sorte que les conclusions dans ce sens étaient irrecevables. Enfin, s’agissant du reproche relatif à la comparaison financière, force était de constater que l’incapacité de gain se déterminait en fonction des conséquences économiques concrètes de l’atteinte et que dans ce contexte, il convenait de procéder à une comparaison des revenus. Les facteurs contextuels (manque formation, difficultés linguistiques, situation sociale compliquée) ne constituaient pas des circonstances permettant d’influencer l’étendue de l’invalidité, même s’ils rendaient toutefois difficile, voire impossible la recherche d’un poste de travail et, partant, l’utilisation de la capacité résiduelle. Pour le surplus, l’intimée relevait que le recourant n’avait formulé aucun grief s’agissant du calcul du degré d’invalidité, du taux d’invalidité, ni contre les DPT, lesquelles étaient parfaitement adaptées aux limitations fonctionnelles.</w:t>
      </w:r>
    </w:p>
    <w:p>
      <w:r>
        <w:rPr>
          <w:b/>
        </w:rPr>
        <w:t>E. 49</w:t>
      </w:r>
    </w:p>
    <w:p>
      <w:r>
        <w:t>Par réplique du 30 septembre 2018, le recourant a notamment relevé qu’il avait toujours fait opposition totale – et non pas partielle – aux décisions de la SUVA. Contestant les considérants du Tribunal fédéral au sujet de la valeur probante des rapports médicaux et notamment des médecins traitants, le recourant a répété que les médecins-conseils et ceux de la CRR étaient employés par la SUVA, payés par cette dernière et qu’ils n’étaient pas indépendants et neutre, n’ayant aucune considération morale. Il n’avait aucune relation d’employé à employeur avec ses médecins traitants, de sorte que les considérations au sujet de leur partialité n’étaient pas applicables dans son cas. Le recourant a ensuite rappelé que les médecins et les conseillers des EPI devaient travailler ensemble, aucun n’étant plus important que l’autre. Enfin, le recourant s’insurgeait contre les termes calomnieux (paresseux, geignard, fainéant, chochotte, …) employés à son égard par la SUVA. Par conséquent, il reconfirmait les conclusions de son recours et persistait à demander à ce que ses propositions de reconversion soient examinées.</w:t>
      </w:r>
    </w:p>
    <w:p>
      <w:r>
        <w:rPr>
          <w:b/>
        </w:rPr>
        <w:t>E. 50</w:t>
      </w:r>
    </w:p>
    <w:p>
      <w:r>
        <w:t>L’intimée a produit sa duplique en date du 25 octobre 2018 et s’est référée à son mémoire de réponse du 3 septembre 2018, relevant pour le surplus qu’elle n’avait fait que répéter la jurisprudence fédérale relative aux conclusions d’un centre d’observation professionnelle tel que les EPI et qu’elle n’avait jamais employé les termes énoncés par le recourant, mais qu’elle avait simplement évoqué les constatations médicales figurant au dossier. 51. Par arrêt du 23 avril 2019 (ATAS/356/2019), la chambre de céans a annulé la décision du 6 juin 2018 de l’OAI et lui a renvoyé la cause pour instruction complémentaire sur la question des mesures d’ordre professionnel, niant le droit à une rente compte tenu du degré d’invalidité de 22% (revenu sans invalidité : CHF 73'160.- ; revenu avec invalidité après abattement de 15% : CHF 56'783.-).</w:t>
      </w:r>
    </w:p>
    <w:p>
      <w:r>
        <w:t>A/2354/2018 - 11/25 - 52. Par ordonnance du 6 mai 2019, la chambre de céans a ordonné l’apport de la procédure A/2336/2018 opposant le recourant à l’OAI. 53. Le même jour, elle a imparti aux parties un délai au 20 mai 2019 pour prendre connaissance des pièces du dossier et déposer d’éventuelles observations. 54. Le 20 mai 2019, le recourant a déposé au greffe de la chambre de céans divers certificats médicaux attestant d’une incapacité de travail totale dès le 1er janvier 2018. 55. Par écriture du 14 juin 2019, l’intimée a relevé que selon l’OAI, la perte de gain s’élevait à 4%, ce qui ne donnait pas droit à une rente. Par ailleurs, l’appréciation de l’OAI, s’agissant du rapport des EPI, corroborait celle de la SUVA. En tout état, l’appréciation d’un centre d’observation professionnelle ne saurait supplanter les avis concordants et étayés des médecins, notamment celui de la Dresse I______, concernant les limitations fonctionnelles du recourant et sa capacité de travail. Par conséquent, l’intimée persistait dans les termes de sa réponse du 3 septembre 2018. 56. Quant au recourant, désormais représenté par l’APAS, il s’est exprimé le 17 juin 2019. Il s’est notamment référé aux revenus retenus par la chambre de céans dans son arrêt du 23 avril 2019 rendu dans la cause l’opposant à l’OAI, à savoir un revenu sans invalidité de CHF 73'160.- et avec invalidité, de 56'783.-, ce qui conduisait à un degré d’invalidité de 22% après comparaison des revenus. Toutefois, dans la mesure où la chambre de céans avait invité l’OAI à déterminer si une mesure de reclassement était envisageable et dans, l’affirmative, laquelle, le recourant a considéré, au vu des conclusions des EPI, qu’il n’avait plus aucune capacité de travail quelle que soit l’activité retenue. Dans tous les cas, c’était une rente de 22% qui devait lui être octroyée. Il concluait par conséquent, principalement, à une rente entière, subsidiairement à une rente de 22%, et pour le surplus au renvoi de la cause à la SUVA pour calcul du gain assuré et de la rente. 57. Sur ce, la cause a été gardée à juger. 58. Par courrier du 31 juillet 2019, l’intimée a précisé que selon la jurisprudence fédérale, le recourant aurait dû formuler ses éventuelles objections quant au choix et à la représentativité des DPT durant la procédure d’opposition. Au demeurant, les DPT prises en considération étaient parfaitement adaptées aux limitations fonctionnelles décrites par la Dresse I______. S’agissant ensuite du revenu sans invalidité, il avait été établi sur la base du dossier et tenait compte de la convention collective de travail applicable.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A/2354/2018 - 12/25 - (LPGA - RS 830.1) relatives à la loi fédérale sur l'assurance-accidents, du 20 mars 1981 (LAA - RS 832.20).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du recourant à des mesures de reconversion professionnelle et à une rente d’invalidité. 4. Concrètement, le recourant conteste en premier lieu l’appréciation de sa capacité de travail telle qu’elle a été retenue par les médecins de la CRR et par la Dresse I______, médecin d’arrondissement de la SUVA, considérant que ces médecins sont dans un lien de subordination avec la SUVA, de sorte que leurs conclusions ne peuvent être indépendantes. a.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w:t>
      </w:r>
    </w:p>
    <w:p>
      <w:r>
        <w:t>A/2354/2018 - 13/25 -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la mesure où ils sont requis par la SUVA, les avis médicaux de la Clinique de réadaptation de Bellikon ne constituent pas des expertises de spécialistes indépendants, de sorte que l'art. 44 LPGA n'est pas applicable (ATF 136 V 117</w:t>
      </w:r>
    </w:p>
    <w:p>
      <w:r>
        <w:t>A/2354/2018 - 14/25 - consid. 3.4). Il en va de même des avis médicaux de la Clinique romande de réadaptation.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En l’espèce, l’intimée s’est principalement fondée sur le rapport de la CRR du 18 novembre 2014 ainsi que sur l’appréciation de la Dresse I______ du 16 octobre</w:t>
      </w:r>
    </w:p>
    <w:p>
      <w:r>
        <w:t>A/2354/2018 - 15/25 - 2017 pour retenir une capacité de travail entière dans une activité adaptée. Il y a donc lieu d’examiner la valeur probante des rapports en question. a. A titre liminaire, la chambre de céans constate que dans la mesure où il a été requis par l’intimée, le rapport de la CRR du 18 novembre 2014 ne constitue pas une expertise de spécialistes indépendants au sens de l'art. 44 LPGA (voir ATF 136 V 117 consid. 3.4 par analogie). Il en va de même de l’appréciation de la Dresse I______, celle-ci devant être considérée comme étant un médecin interne à l’assurance. Toutefois, le fait qu’il ne s’agisse pas d’expertises stricto sensu n’ôte pas toute valeur probante auxdits rapports, dès lors que ni l’origine ni la désignation ne sont déterminantes mais leur contenu. Partant, il y a lieu d’examiner si lesdits rapports répondent aux réquisits jurisprudentiels en matière de valeur probante. b. Cela étant précisé, force est de constater que tant le rapport de la CRR que l’appréciation finale de la Dresse I______ remplissent, sur les plans formel et matériel, toutes les exigences auxquelles la jurisprudence soumet la valeur probante de tels documents : ils contiennent un résumé du dossier, une anamnèse détaillée, les indications subjectives du recourant, des observations cliniques, ainsi qu’une discussion générale du cas, et leurs conclusions, qui résultent d'une analyse complète de la situation médicale, sont claires, bien motivées et convaincantes. Sur le fond, les médecins de la CRR ont retenu, dans leur rapport du 25 février 2016, une incapacité totale de travailler dans l’activité habituelle, évoquant les limitations fonctionnelles provisoires suivantes : pas de travail de force et de port de charges avec le membre supérieur droit, pas de travail au-dessus du plan des scapulas, pas de position en porte-à-faux ni de mouvements répétitifs avec le membre supérieur droit. Quant à la Dresse I______, elle a fait état, dans son rapport du 16 octobre 2017 relatif à l’examen final, d’une incapacité de travail entière dans l’activité habituelle et d’une capacité de travail de 100% dans une activité adaptée aux limitations fonctionnelles suivantes : pas de port de charges répétées de plus de 15 kg du sol à la taille et pas de port de charges répétées de plus de 7,5 kg de la taille à au-dessus de l’horizontale et en tenant le poids avec deux mains, pas d’activité répétitive nécessitant des mouvements du bras droit ou des mouvements du bras droit au- dessus de l’horizontale. La chambre de céans constate que ces limitations fonctionnelles rejoignent celles retenues par la Dresse G______, médecin traitant du recourant, dans son courriel à l’OAI du 31 mai 2017, dans lequel ce médecin a évoqué l’exercice d’une activité adaptée potentiellement à 100% pour autant qu’elle n’implique pas de surutilisation du bras droit, de mouvements du bras au-dessus de 60° et de port de charges. Force est ainsi de constater, au vu des rapports précités, que les médecins consultés par la SUVA retiennent des limitations fonctionnelles similaires, dont notamment le fait que l’activité adaptée ne doit pas nécessiter des mouvements répétitifs du bras droit. En d’autres termes, le bras dominant ne peut être utilisé que ponctuellement.</w:t>
      </w:r>
    </w:p>
    <w:p>
      <w:r>
        <w:t>A/2354/2018 - 16/25 - c. Le recourant conteste les conclusions médicales précitées en se fondant sur le rapport des EPI du 26 mars 2018. C’est le lieu de préciser que la mesure d’observation aux EPI s’inscrit dans le cadre d’une mesure d’orientation professionnelle ordonnée par l’OAI, dont le but est de guider le recourant vers l'activité dans laquelle il aurait le plus de chances de succès, compte tenu de ses dispositions et de ses aptitudes. Or, il ressort du rapport auquel le recourant se réfère que la mesure a permis de confirmer les limitations fonctionnelles évoquées par les médecins, à savoir, en substance, que le bras dominant ne devait pas être utilisé de manière régulière. Concrètement, le recourant a commencé toutes les activités proposées avec la main droite mais les limitations l’ont obligé à alterner avec la main gauche. Après quinze jours à 100%, un certificat de travail de 50% lui a été délivré en raison des douleurs à l’épaule droite. Le recourant n’étant pas ambidextre, le transfert des habiletés du membre droit – dominant – sur le membre gauche ne s’est fait que difficilement et le recourant n’a pas atteint, avec la main gauche, le niveau de précision attendu pour être exploitable dans le marché ordinaire de l’emploi. Cela étant, ces considérations n’ont rien de médical et ne concernent que le type d’activité qui peut raisonnablement être exercé par le recourant, à savoir des activités n’impliquant pas l’utilisation régulière du bras droit et n’exigeant pas de motricité fine avec la main gauche. Quant aux autres constatations (capacités d’apprentissage [scolarité très courte, faible maîtrise du français], découverte de l’utilisation de l’outil informatique lors de l’évaluation) également évoquées par les maîtres de stage, elles ne sont pas du ressort de l’assurance-accidents et ne sont pas en contradiction avec les constatations des médecins. En résumé, le rapport des EPI ne contredit ni les conclusions des médecins de la CRR et de la Dresse I______ ni celles de la Dresse G______. Par conséquent, il n’y pas lieu d’ordonner une expertise médicale, tous les intervenants - médecins et professionnels de l’intégration - étant en réalité du même avis, à savoir que l’activité adaptée ne doit pas impliquer l’utilisation du membre supérieur droit, si ce n’est ponctuellement, étant précisé que dans une activité mono-manuelle, le rendement sera, à tout le moins dans un premier temps, diminué. 8. Le recourant reproche ensuite à l’intimée de ne pas avoir pris en considération ses propositions de reconversion. a.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Concrètement,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w:t>
      </w:r>
    </w:p>
    <w:p>
      <w:r>
        <w:t>A/2354/2018 - 17/25 - rente d’invalidité prend le relais et remplace les indemnités journalières et le traitement médical (KIESER, ATSG-Kommentar, 2015, n° 46 ad Art. 6 LPGA ; voir également art. 10, 16 et 19 LAA). b. Il ressort ainsi des considérations qui précèdent que l’assurance-accidents intervient financièrement, par la prise en charge des frais afférents au traitement médical, le versement de prestations périodiques (indemnités journalières ou rente) et le versement d’une indemnité ponctuelle, l’indemnité pour atteinte à l’intégrité. En d’autres termes, l’assurance-accidents ne fournit aucune prestation en nature. Par conséquent, les mesures de réinsertion professionnelles ne sont pas des prestations dues par l’assureur-accidents, de sorte que c’est à juste titre que l’intimée n’a pas examiné les propositions de reconversion professionnelle, leur prise en charge n’étant pas de son ressort. 9. Dans la mesure où le recourant, qui a agi en personne jusqu’aux toutes dernières observations, conclut à la poursuite des indemnités accident et que la décision sur opposition querellée porte sur le droit à une rente d’invalidité et non sur le versement des indemnités journalières, il doit être considéré qu’il conteste également le degré d’invalidité retenu par la SUVA. a. Comme indiqué précédemment, selon l'art. 18 al. 1er LAA, si l’assuré est invalide (art. 8 LPGA) à 10 % au moins par suite d’un accident, il a droit à une rente d’invalidité. Par ailleurs, à teneur de l’art. 16 LPGA, pour évaluer le taux d’invalidité, le revenu que l’assuré pourrait obtenir s’il n’était pas invalide est comparé avec celui qu’il pourrait obtenir en exerçant l’activité qui peut raisonnablement être exigée de lui après les traitements et les mesures de réadaptation, sur un marché du travail équilibré.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w:t>
      </w:r>
    </w:p>
    <w:p>
      <w:r>
        <w:t>A/2354/2018 - 18/25 -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A/2354/2018 - 19/25 -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10. a. En l’espèce, le recourant travaillait pour le compte de C______ en tant que monteur d’échafaudage lorsqu’il a été victime de l’accident du 29 août 2014. A ce titre, il était soumis à la convention collective de travail pour les échafaudeurs suisses (ci-après : la CCT), de force obligatoire pour tout le territoire suisse. En matière de durée annuelle du travail, la CCT précitée prévoit que le total des heures annuelles de travail déterminant s’élève à 2190 heures (365 jrs : 7 jrs/sem. = 52,14 sem.; 52,14 sem. x 42 h/sem.; art. 8 ch. 3 let. a CCT). Il s’agit là du temps de travail brut moyen (avant la déduction des heures ne devant pas être effectuées de manière générale [jours fériés] ou de manière individuelle [vacances, accident, jours de service de protection civile, etc.]) – à effectuer durant une année civile (cf. arrêt du Tribunal fédéral 9C_100/2014 du 6 mai 2014 consid. 4.2.2 par analogie). Le contrat peut prévoir une durée hebdomadaire différente mais celle-ci ne peut toutefois dépasser 48 heures hebdomadaires au maximum (art. 8 ch. 3 let. b CCT). Il ressort du contrat de travail, ainsi que des conclusions d’accord de mars 2016, que le salaire horaire s’élevait à CHF 29.-. Selon la déclaration de sinistre et le questionnaire pour l’employeur, le nombre d’heures à effectuer s’élevait à 45 heures hebdomadaires, soit 171 heures mensuelles en moyenne, après déduction des vacances et des jours fériés (45h/sem. x 52 sem. = 2'340 heures par années dont il faut déduire les heures correspondant aux jours de vacances et jours fériés, soit 297 heures (33 jours [25 jours de congé et 8 jours fériés en 2013-2014] à 9 heures par jour), ce qui correspond en substance à ce qui ressort des fiches de salaire, lesquelles évoquaient un nombre d’heures mensuel moyen de 172 heures (décembre 2013 : 131 heures ; janvier 2014 : 153,5 heures ; février 2014 : 168 heures ; mars</w:t>
      </w:r>
    </w:p>
    <w:p>
      <w:r>
        <w:t>A/2354/2018 - 20/25 - 2014 : 199 heures ; avril 2014 : 175 heures ; mai 2014 : 171 heures ; juin 2014 : 176 heures ; juillet 2014 : 192,5 heures ; août 2014 : 151 heures ; septembre 2014 : 175 heures ; octobre 2014 : 201 heures, soit un total de 1893 heures ou 172 heures par mois en moyenne [1893 heures/11 mois]). Conformément à la CCT, au contrat de travail et aux fiches de salaire, il convient d’ajouter un supplément de 8.33 % pour le treizième salaire, un supplément de 10.64 % pour cinq semaines de vacances et un forfait de 3% pour les jours fériés qui tombaient sur un jour de travail, c’est-à-dire un jour autre qu’un samedi ou un dimanche (art. 10 CCT) : Salaire horaire de base</w:t>
      </w:r>
    </w:p>
    <w:p>
      <w:r>
        <w:t>29.00 Indemnité de vacances 10.64% de la somme du salaire horaire de base + du salaire afférent aux jours fériés 3.09 Indemnité jours fériés 3 % de la somme du salaire horaire de base 0.87 Part 13e 8.33% de la somme du salaire horaire de base + salaire afférent aux vacances + salaire afférent aux jours fériés 2.74 Salaire horaire avec indemnités et 13e salaire</w:t>
      </w:r>
    </w:p>
    <w:p>
      <w:r>
        <w:t>35.70 Dans la mesure où, selon la CCT applicable, le recourant aurait bénéficié de 25 jours de vacances par année et de 8 jours fériés indemnisés, le revenu annuel doit se calculer sur 45.54 semaines de travail, étant précisé que :  52.14 semaines = 365 jours/ 7 jours par semaine ;  6.6 semaines = 5 semaines de vacances indemnisées (25 jours de vacances / 5 jours travaillés par semaine) + 1.6 semaines de jours fériés indemnisés (8 jours fériés / 5 jours travaillés par semaine) ;  52.14 semaines – 6.6 semaines = 45.54 semaines. En procédant de la sorte, le revenu annuel sans invalidité s’élève à CHF 73'160.- (CHF 35.70 /h x 45h/sem. x 45.54 sem./année) et non à CHF 66'464.- comme retenu par la SUVA, ce montant correspondant en réalité au salaire minimum prévu par une convention collective, dont il n’a pas été possible de déterminer la nature. On ne saurait par conséquent prendre ce montant en considération à titre de salaire sans invalidité compte tenu du contrat, des fiches de salaire et des conclusions d’accord, lesquels font tous état d’un salaire horaire de CHF 29.-, à l’évidence supérieur à celui prévu par la convention collective retenue par la SUVA. b. S’agissant du revenu avec invalidité, le recourant n’a pas repris d’activité professionnelle, de sorte que l’intimée s’est référée au salaire moyen de cinq DPT. A titre liminaire, la chambre de céans rappelle que selon la jurisprudence, il appartient en principe à l’assuré de formuler toute objection quant au choix et à la représentativité des DPT durant la procédure d'opposition. Au vu de l’emploi des termes « en principe », il s’agit à l’évidence d’une règle qui souffre d’exceptions. Dans le cas d’espèce, le recourant n’était pas représenté. La décision initiale ne comportait pas le détail de la comparaison des revenus. L’attention du recourant n’a</w:t>
      </w:r>
    </w:p>
    <w:p>
      <w:r>
        <w:t>A/2354/2018 - 21/25 - dès lors pas été attirée sur l’utilisation de DPT. Le recourant a par ailleurs sollicité de la SUVA qu’elle motive sa décision, ce qui n’a jamais été fait. Faisant selon toute vraisemblance confiance à son assureur quant au calcul du degré d’invalidité, le recourant n’a pas non plus formellement contesté les DPT retenues par la SUVA dans son recours. Il a toutefois précisé, dans sa réplique, qu’il avait fait opposition totale à la décision initiale. Enfin, il a conclu à la poursuite du versement des indemnités d’accidents. Par conséquent, au vu du contexte et de l’ensemble des éléments, il doit être considéré que le recourant conteste tout ce qui concerne le calcul du degré d’invalidité, ce qui comprend également le choix et la représentativité des DPT. Cela est d’ailleurs confirmé par les conclusions formellement prises par son représentant dans ses observations du 17 juin 2019. En effet, dans la mesure où le recourant a agi en personne durant la majeure partie de la procédure, il convient de faire preuve d’une certaine souplesse dans l’application de la règle susmentionnée. Cela étant précisé, force est de constater que les DPT retenues mentionnent tous que l’utilisation des deux mains est nécessaire. Ces DPT sont ainsi en contradiction avec les limitations fonctionnelles retenues par les médecins, dès lors qu’une utilisation régulière du membre supérieur droit, dont la main fait partie, est exclue. Partant, il convient d’écarter les DPT retenus par la SUVA. Dès lors qu’on ne peut se fonder sur les DPT, il convient d’appliquer les ESS 2016 et de retenir un revenu de CHF 5'340.-. Adapté au nombre d’heures dans les entreprises (41,7), ce revenu s’élevait à CHF 5'567.- par mois, soit CHF 66'804.- par année en 2016. Compte tenu des limitations fonctionnelles limitant le choix des activités, il convient d’appliquer, comme l’a fait l’OAI, un abattement de 15%, ce qui porte le revenu avec invalidité à CHF 56'783.-. Dans ce contexte, la chambre de céans observe que dans la situation d’un assuré ne pouvant exercer que des tâches mono-manuelles, le Tribunal fédéral a admis à réitérées reprises la référence au tableau TA1, niveau de qualification 4 (ESS jusqu’à 2012), et au tableau TA1_skill_level, niveau de compétence 1 (ESS depuis 2012) (cf. arrêts du Tribunal fédéral 8C_849/2017 du 5 juin 2018, 8C_541/2011 du 17 juillet 2012, 9C_418/2008 du 17 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s'impose pas au secteur des services (arrêt du Tribunal 8C_100/2012 du 29 mars 2012 consid. 3.4 et les références).</w:t>
      </w:r>
    </w:p>
    <w:p>
      <w:r>
        <w:t>A/2354/2018 - 22/25 - Après comparaison des revenus, le degré d’invalidité s’élève à CHF 22%, ce qui correspond à une rente du même pourcentage ([CHF 73'160– CHF 56'783] / CHF 73'160 = 0.223, soit 22%). 11. Sous la plume de l’APAS, le recourant a également invoqué le caractère irréaliste d’une activité adaptée dans ses dernières écritures datées du 17 juin 2019.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w:t>
      </w:r>
    </w:p>
    <w:p>
      <w:r>
        <w:t>A/2354/2018 - 23/25 -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par être dépourvues de tout fondement objectif. L'administration n'a pas à démontrer l'existence d'offres de travail concrètes disponibles correspondant aux limitations de l'assuré (arrêt du Tribunal fédéral 9C_633/2016 du 28 décembre 2016). Le Tribunal fédéral a notamment jugé qu'un marché du travail équilibré est sans conteste en mesure d'offrir des postes que l'on peut occuper avec une seule main ou un seul bras ou suite à la perte fonctionnelle d'un œil.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 même de l'exercice d'un travail auxiliaire, ceci en principe indépendamment de l'âge de l'assuré (Michel VALTERIO, op. cit, n. 2114 et 2115; arrêt du Tribunal fédéral des assurances I 180/05 du 16 janvier 2006; arrêt du Tribunal fédéral 9C_95/2007 du 29 août 2007 consid. 4.3). À noter, dans ce contexte, que s'il est vrai que des facteurs tels que l'âge et le manque de formation jouent un rôle non négligeable pour déterminer dans un cas concret les activités que l'on peut encore raisonnablement exiger d'un assuré, le Tribunal fédéral a déjà rappelé à maintes reprises qu'ils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9C_44/2018 du 3 avril 201 consid. 4.2 ; arrêt du Tribunal fédéral des assurances I 381/06 du 30 avril 2007 consid. 5.2) 12. En l’espèce, les maîtres de réadaptation ont pris en considération, dans leur appréciation, des éléments qui ne sont pas liés à l’atteinte à la santé invalidante, tels que les capacités d’apprentissages très limitées (scolarité très courte, faible maîtrise du français), en raison desquelles seul un emploi simple, introduit par une mise au courant en entreprise, était exigible. Il en allait de même de sa faible adaptabilité,</w:t>
      </w:r>
    </w:p>
    <w:p>
      <w:r>
        <w:t>A/2354/2018 - 24/25 - de son manque de proactivité, de polyvalence et d’autonomie, lesquels constituaient des freins majeurs à son employabilité et prétéritaient sa réinsertion professionnelle. Il s’agit là de facteurs psychosociaux ou socioculturels qui sont étrangers à la définition juridique de l’invalidité et qui ne peuvent être pris en considération. Seul le fait que le recourant doit désormais être considéré comme un mono-manuel est pertinent. Dans ce contexte toutefois, le Tribunal fédéral a considéré qu’il y avait suffisamment d'opportunités réalistes sur un marché du travail équilibré pour les personnes qui ne pouvaient exercer que des travaux légers de type mono- manuel, à l’instar de simples activités de surveillance, d'essais et d'inspection, ainsi que du fonctionnement et de la surveillance de machines (semi-) automatiques ou d'unités de production qui ne nécessitent pas l'utilisation des deux bras et des deux mains (arrêt du Tribunal 8C_100/2012 du 29 mars 2012 consid. 3.4 et les références). Partant, le grief relatif au caractère irréaliste de l’activité adaptée doit être écarté. 13. Au vu de ce qui précède, le recours sera partiellement admis et la décision sur opposition du 11 juin 2018 sera réformée en ce sens que l’intimée est tenue de verser une rente d’invalidité de 22% à compter du 1er janvier 2018. Le recourant, qui obtient gain de cause, a mandaté un avocat pour l’écriture du 14 juin 2019 seulement, de sorte qu’une indemnité de CHF 800.-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A/2354/2018 - 25/25 -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