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ATAS/765/2017 vom 6. September 2017</w:t>
      </w:r>
    </w:p>
    <w:p>
      <w:r>
        <w:t>GE Cour de justice, 2017-09-06, FR</w:t>
      </w:r>
    </w:p>
    <w:p>
      <w:r>
        <w:rPr>
          <w:b/>
        </w:rPr>
        <w:t xml:space="preserve">Quelle: </w:t>
      </w:r>
      <w:r>
        <w:t>https://mcp.opencaselaw.ch/entscheid/ge_gerichte_ATAS_765_2017</w:t>
      </w:r>
    </w:p>
    <w:p>
      <w:r>
        <w:t>FR: GE_GERICHTE ATAS/765/2017 du 6 septembre 2017</w:t>
      </w:r>
    </w:p>
    <w:p>
      <w:r>
        <w:t>IT: GE_GERICHTE ATAS/765/2017 del 6 settembre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A/3832/2016 - 5/7 -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la réalisation de la condition difficile permettant une remise de l'obligation de restituer un montant indu.</w:t>
      </w:r>
    </w:p>
    <w:p>
      <w:r>
        <w:rPr>
          <w:b/>
        </w:rPr>
        <w:t>E. 5</w:t>
      </w:r>
    </w:p>
    <w:p>
      <w:r>
        <w:t>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Dans l'arrêt publié aux ATF 122 V 134 consid. 3c p. 140, le Tribunal fédéral a jugé qu'en cas de paiement rétroactif de rente ou de transfert de biens après la décision (par exemple en cas d'héritage), la jurisprudence concernant les limites de revenu applicable ne vaut plus.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Selon l'art. 112a de la Constitution fédérale de la Confédération suisse du 18 avril 1999 (Cst. - RS 101), le but des prestations complémentaires est de venir en aide aux personnes âgées ou invalides qui ne peuvent pas couvrir leurs besoins vitaux. Il s'ensuit, logiquement, que la fortune du bénéficiaire, quelle que soit sa provenance,</w:t>
      </w:r>
    </w:p>
    <w:p>
      <w:r>
        <w:t>A/3832/2016 - 6/7 - doit être prise en considération pour déterminer s'il se trouve dans le besoin, ce qui est confirmé par les DPC, qui mentionnent que l’origine des éléments de fortune est irrelevante (ATAS/3513/2012 du 24 juillet 2013).</w:t>
      </w:r>
    </w:p>
    <w:p>
      <w:r>
        <w:rPr>
          <w:b/>
        </w:rPr>
        <w:t>E. 6</w:t>
      </w:r>
    </w:p>
    <w:p>
      <w:r>
        <w:t>En l'espèce, la condition de la bonne foi étant admise, seule celle de la situation financière difficile est litigieuse. Selon la jurisprudence du Tribunal fédéral précitée (arrêt 122 V 134 consid. 3c p. 140), si l'intéressé dispose d'une fortune suffisante au moment où il doit restituer au SPC la somme due, la situation difficile ne peut pas être retenue. Cet arrêt mentionnant expressément le cas d'un héritage à titre d'exemple, l'on ne saurait suivre le recourant lorsqu'il soutient que cette jurisprudence ne s'appliquerait qu'en cas de versement rétroactif de rentes. L'ATAS/728/2014 cité par le SPC n'est pas tout-à-fait similaire au présent cas, dans la mesure où il concerne une personne qui disposait déjà d'une fortune conséquente avant de recevoir un héritage, de sorte que son « enrichissement » n'était pas exclusivement dû à ce dernier. Quoi qu'il en soit, au vu de la jurisprudence du Tribunal fédéral et du but de la loi, peu importe le montant de la fortune ni son origine; il s'agit uniquement de déterminer si, au moment où la restitution doit avoir lieu, le débiteur se trouve enrichi, de sorte qu'il peut payer la somme à restituer. En l'occurrence, le recourant a admis lui-même qu'il était en possession d'une fortune de CHF 13'000.- lorsque la décision de restitution de la somme de CHF 3'326.- est entrée en force à fin juin 2015, ce qui est confirmé par l'extrait de compte produit dont il ressort qu'il disposait encore de CHF 11'000.- le 7 juin 2016. Il en résulte que lors de l'entrée en force de la décision de restitution, il était en possession d'une fortune qui lui permettait de payer la somme due. En conséquence, c’est à juste titre que le SPC a retenu que la condition de la situation difficile n’était pas réalisée et refusé la remise de l'obligation de restituer.</w:t>
      </w:r>
    </w:p>
    <w:p>
      <w:r>
        <w:rPr>
          <w:b/>
        </w:rPr>
        <w:t>E. 7</w:t>
      </w:r>
    </w:p>
    <w:p>
      <w:r>
        <w:t>Infondé, le recours sera rejeté.</w:t>
      </w:r>
    </w:p>
    <w:p>
      <w:r>
        <w:rPr>
          <w:b/>
        </w:rPr>
        <w:t>E. 8</w:t>
      </w:r>
    </w:p>
    <w:p>
      <w:r>
        <w:t>La procédure est gratuite (art. 61 let. a LPGA).</w:t>
      </w:r>
    </w:p>
    <w:p>
      <w:r>
        <w:t>A/3832/2016 - 7/7 -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