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ATAS/765/2016 vom 26. September 2016</w:t>
      </w:r>
    </w:p>
    <w:p>
      <w:r>
        <w:t>GE Cour de justice, 2016-09-26, FR</w:t>
      </w:r>
    </w:p>
    <w:p>
      <w:r>
        <w:rPr>
          <w:b/>
        </w:rPr>
        <w:t xml:space="preserve">Quelle: </w:t>
      </w:r>
      <w:r>
        <w:t>https://mcp.opencaselaw.ch/entscheid/ge_gerichte_ATAS_765_2016</w:t>
      </w:r>
    </w:p>
    <w:p>
      <w:r>
        <w:t>FR: GE_GERICHTE ATAS/765/2016 du 26 septembre 2016</w:t>
      </w:r>
    </w:p>
    <w:p>
      <w:r>
        <w:t>IT: GE_GERICHTE ATAS/765/2016 del 26 settembre 2016</w:t>
      </w:r>
    </w:p>
    <w:p>
      <w:pPr>
        <w:pStyle w:val="Heading2"/>
      </w:pPr>
      <w:r>
        <w:t>Erwägungen</w:t>
      </w:r>
    </w:p>
    <w:p>
      <w:r>
        <w:rPr>
          <w:b/>
        </w:rPr>
        <w:t>E. 1</w:t>
      </w:r>
    </w:p>
    <w:p>
      <w:r>
        <w:t>a.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LPC. Elle statue aussi sur les contestations prévues à l'art. 43 LPCC (comme le rappelle l’art. 134 al. 3 let. a LOJ) ainsi que sur celles prévues à l’art. 36 LaLAMal.</w:t>
      </w:r>
    </w:p>
    <w:p>
      <w:r>
        <w:t>A/795/2016 - 5/15 - c. La chambre de céans est donc compétente pour connaître du présent recours ratione materiae.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w:t>
      </w:r>
    </w:p>
    <w:p>
      <w:r>
        <w:rPr>
          <w:b/>
        </w:rPr>
        <w:t>E. 3</w:t>
      </w:r>
    </w:p>
    <w:p>
      <w:r>
        <w:t>Interjeté dans la forme et le délai prescrits, le recours est recevable (art. 56 et 60LPGA ; art. 43 LPCC ; art. 89B de la loi sur la procédure administrative du 12 septembre 1985 (LPA-GE - E 5 10).</w:t>
      </w:r>
    </w:p>
    <w:p>
      <w:r>
        <w:rPr>
          <w:b/>
        </w:rPr>
        <w:t>E. 4</w:t>
      </w:r>
    </w:p>
    <w:p>
      <w:r>
        <w:t>L'objet de litige est de déterminer si le SPC était légitimé à requérir la restitution des prestations versées à la bénéficiaire, à hauteur de CHF 7'472.65, et, en particulier, à retenir que son fils résidait chez elle dès avril 2011 et à prendre, en conséquence, en compte la moitié du loyer de la bénéficiaire dans les dépenses de celle-ci.</w:t>
      </w:r>
    </w:p>
    <w:p>
      <w:r>
        <w:rPr>
          <w:b/>
        </w:rPr>
        <w:t>E. 5</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w:t>
      </w:r>
    </w:p>
    <w:p>
      <w:r>
        <w:rPr>
          <w:b/>
        </w:rPr>
        <w:t>E. 6</w:t>
      </w:r>
    </w:p>
    <w:p>
      <w:r>
        <w:t>Selon l'art. 9 al. 1 LPC, le montant de la prestation complémentaire annuelle correspond à la part des dépenses reconnues qui excède les revenus déterminants.</w:t>
      </w:r>
    </w:p>
    <w:p>
      <w:r>
        <w:rPr>
          <w:b/>
        </w:rPr>
        <w:t>E. 7</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w:t>
      </w:r>
    </w:p>
    <w:p>
      <w:r>
        <w:t>A/795/2016 - 6/15 -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savoir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w:t>
      </w:r>
    </w:p>
    <w:p>
      <w:r>
        <w:t>A/795/2016 - 7/15 -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w:t>
      </w:r>
    </w:p>
    <w:p>
      <w:r>
        <w:rPr>
          <w:b/>
        </w:rPr>
        <w:t>E. 8</w:t>
      </w:r>
    </w:p>
    <w:p>
      <w:r>
        <w:t>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et partant également en matière de subside d’assurance- maladie (même si la LPGA ne s’applique pas en matière de subside d’assurance- maladie [art. 1 al. 2 let. c LAMal]). Les notions de domicile et de résidence habituelle doivent donc être interprétées de la même manière pour les trois prestations considérées.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w:t>
      </w:r>
    </w:p>
    <w:p>
      <w:r>
        <w:t>A/795/2016 - 8/15 -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w:t>
      </w:r>
    </w:p>
    <w:p>
      <w:r>
        <w:rPr>
          <w:b/>
        </w:rPr>
        <w:t>E. 9</w:t>
      </w:r>
    </w:p>
    <w:p>
      <w:r>
        <w:t>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précisément pas réalisée dans le</w:t>
      </w:r>
    </w:p>
    <w:p>
      <w:r>
        <w:t>A/795/2016 - 9/15 - cas d'un bénéficiaire de prestations complémentaires à l'AVS ou à l'AI (arrêt du Tribunal fédéral des assurances P 21/02 du 8 janvier 2003 consid. 3). Le Tribunal fédéral a admis un motif d'ordre moral dans le cas d'un infirmier en psychiatrie qui partageait le logement d'une bénéficiaire de prestations complémentaires (ATF 105 V 271). Cet arrêt précise que l'intéressée, qui était atteinte dans sa santé physique et psychique, avait besoin de soins réguliers et d'une surveillance quasi-constante qui lui étaient fournis par l'infirmier sans qui elle aurait dû être placée dans un asile ou un home. Enfin, il est ajouté que le souci d'économiser un loyer - fort modique au demeurant - ne semblait avoir joué aucun rôle dans la décision de vivre ensemble et que les soins donnés par l'infirmier avaient un très grand prix pour celle qui en bénéficiait et, indubitablement, contractait envers son ami une dette de reconnaissance considérable, de sorte qu'il se justifiait d'imputer à la bénéficiaire l'intégralité du loyer. Le Tribunal fédéral n'a en revanche pas reconnu l'existence d'une obligation d'ordre moral pour un assuré envers sa fille, âgée de 25 ans, ne bénéficiant plus d'une rente pour enfant, mais toujours en formation. Il a précisé que « pour compréhensible et louable que soit l'attitude du prénommé de vouloir loger sa fille majeure encore en formation, on n'est pas en présence d'une situation assimilable à celle qui a donné lieu à l'arrêt 105 V 271.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l'État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 (art. 2 al. 1 LPC; arrêt du Tribunal fédéral des assurances P 21/02 du 8 janvier 2003 consid. 3).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(ATAS/1396/2012). La chambre de céans a également estimé qu'une bénéficiaire, qui partageait son logement avec sa fille et sa petite-fille, n'était pas tenue à une obligation d'entretien envers sa petite-fille, ni à une obligation d'ordre moral (ATAS/28/2007).</w:t>
      </w:r>
    </w:p>
    <w:p>
      <w:r>
        <w:rPr>
          <w:b/>
        </w:rPr>
        <w:t>E. 10</w:t>
      </w:r>
    </w:p>
    <w:p>
      <w:r>
        <w:t>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w:t>
      </w:r>
    </w:p>
    <w:p>
      <w:r>
        <w:t>A/795/2016 - 10/15 - L'octroi, par le canton de Genève, de subsides au titre de la réduction des primes de l'assurance-maladie obligatoire est prévu aux art. 19 à 34 de la LaLAMal. Les art. 19 ss LaLAMal sont des dispositions d'application des art. 65 et 65a LAMal (ATF 131 V 202 consid. 3.2.1).</w:t>
      </w:r>
    </w:p>
    <w:p>
      <w:r>
        <w:t>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w:t>
      </w:r>
    </w:p>
    <w:p>
      <w:r>
        <w:t>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Sous réserve des exceptions prévues par l'art. 27, le législateur distingue entre les assurés de condition économique modeste ou bénéficiaires de prestations complémentaires à l’AVS/AI (art. 20 al. 1 let. a et b LaLAMal) et les assurés ayant une fortune brute ou un revenu annuel brut importants qui sont présumés ne pas être de condition économique modeste (art. 20 al. 2 LaLAMal).</w:t>
      </w:r>
    </w:p>
    <w:p>
      <w:r>
        <w:t>En vertu des art. 21 al. 1 LaLAMal et 10B RaLAMal, les assurés n’ayant pas de revenu annuel brut ou de fortune brute importants ont droit aux subsides pour autant que leur revenu déterminant ne dépasse pas les limites fixées par le Conseil d’État pour l’un des trois groupes (groupe A : 18'000 fr. pour un assuré seul, 29'000 fr. pour un couple ; groupe B : 29'000 fr. pour un assuré seul, 47'000 fr. pour un couple ; groupe C : 38'000 fr. pour un assuré seul, 61'000 fr. pour un couple. Ces limites sont majorées de 6'000 fr. par charge légale. Selon l’art. 21 al. 2 LaLAMal, le revenu déterminant est celui résultant de la loi sur le revenu déterminant le droit aux prestations sociales cantonales du 19 mai 2005 (LRD). Le droit aux subsides s'étend au conjoint et aux enfants à charge de l'ayant droit (art. 21 al. 3 LaLAMal). L’AFC transmet automatiquement au SAM la liste des contribuables remplissant ces conditions établie sur la base de la dernière taxation fiscale (art. 23 al. 1 LaLAMal) à charge pour le SAM d’établir une attestation en faveur du bénéficiaire (art. 23 al. 4 LaLAMal).</w:t>
      </w:r>
    </w:p>
    <w:p>
      <w:r>
        <w:t>Sont considérés comme importants au sens de l'art. 20 al. 2 LaLAMal, la fortune brute qui excède 250'000 fr. et le revenu annuel brut dépassant 150'000 fr. tels que retenus par l’AFC sur la base de la loi sur l'imposition des personnes physiques (art. 10 al. 1 et 2 RaLAMal). Les assurés qui disposent d'une fortune brute ou d'un revenu annuel brut importants sont présumés n'étant pas de condition économique modeste à moins qu'ils ne prouvent que leur situation justifie l'octroi de subside. Le</w:t>
      </w:r>
    </w:p>
    <w:p>
      <w:r>
        <w:t>A/795/2016 - 11/15 - Conseil d'État détermine les montants considérés comme importants (art. 20 al. 2 LaLAMal). Ces assurés peuvent présenter une demande dûment motivée accompagnée des pièces justificatives établissant que leur situation économique justifie l’octroi de subsides (art. 23 al. 5 LaLAMal). Ils peuvent obtenir un subside lorsque leur revenu brut fiscal, réalisé deux ans avant l’année d’ouverture du droit aux subsides, multiplié par le coefficient 0.95, augmenté du 15ème de la fortune brute, ne dépasse pas les limites de revenu figurant à l’article 10B (art. 10 al. 3 RaLAMal).</w:t>
      </w:r>
    </w:p>
    <w:p>
      <w:r>
        <w:t>La LRD, à laquelle la LaLAMal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LRD). Le revenu déterminant le droit aux prestations sociales cantonales est égal au revenu calculé en application des articles 4 et 5 de la présente loi, augmenté d'un quinzième de la fortune calculée en application des articles 6 et 7 de la présente loi (art. 8 LRD).</w:t>
      </w:r>
    </w:p>
    <w:p>
      <w:r>
        <w:rPr>
          <w:b/>
        </w:rPr>
        <w:t>E. 11</w:t>
      </w:r>
    </w:p>
    <w:p>
      <w:r>
        <w:t>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(ATF 119 V 189 consid. 2c p. 193; arrêt 9C_675/2012 du 15 novembre 2012 consid. 3.1), elle porte ainsi sur la modification de prestations complémentaires en cours (sur cette disposition, voir Ulrich MEYER-BLASER, Die Anpassung von Ergänzungsleistungen wegen Sachverhaltsänderungen, in: Die Revision von Dauerleistungen in der Sozialversicherung, Saint-Gall 1999, p. 29 ss, p. 40 ss). L'art. 25 al. 2 let. c et d in fine OPC-AVS/AI réserve expressément la créance en restitution lorsque l'obligation de renseigner a été violée (ATF 138 V 298 consid. 5.2.1 p. 301 et les références). b.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w:t>
      </w:r>
    </w:p>
    <w:p>
      <w:r>
        <w:t>A/795/2016 - 12/15 - prestations cantonales complémentaires du 25 octobre 1968 (LPCC - J 4 25) et – par le biais d’un renvoi par analogie audit art. 25 LPGA – pour les subsides d’assurance-maladie par l’art. 33 al. 1 LaLAMal. c. L’obligation de restituer prévue par l’art. 25 al. 1, 1ère phr.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al. 2 LPGA).</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A/795/2016 - 13/15 -</w:t>
      </w:r>
    </w:p>
    <w:p>
      <w:r>
        <w:rPr>
          <w:b/>
        </w:rPr>
        <w:t>E. 13</w:t>
      </w:r>
    </w:p>
    <w:p>
      <w:r>
        <w:t>a. En l’espèce, lors de la révision du dossier de la bénéficiaire, en avril 2015, l’intimé a appris que celle-ci cohabitait occasionnellement avec son fils, et ce, depuis le 22 mars 2011, à teneur du registre de l'OCPM. Il s’agit là d’un fait important de nature à conduire à une appréciation juridique différente, mais qui a été découvert après coup. On est en présence d'un motif de révision procédurale. Dans ces circonstances, l'obligation de restituer les prestations indûment perçues vise simplement à rétablir l'ordre légal, après la découverte d'un fait nouveau. L’intimé était ainsi fondé, sur le principe, à recalculer les prestations avec effet rétroactif et à demander la restitution des prestations indûment versées. Il a considéré que tel avait été le cas, en tenant compte dans les dépenses de la bénéficiaire, dès le 1er avril 2011, non plus l'entier de son loyer, mais seulement de la moitié. b. Se pose en l'espèce la question de savoir si c'est à juste titre que le SPC a retenu que le fils de la bénéficiaire résidait chez celle-ci dès avril 2011 de façon continue, alors qu'elle avait mentionné cohabiter seulement occasionnellement avec lui. Le fils de la bénéficiaire a annoncé à l'OCPM qu'il était domicilié chez sa mère dès le 22 mars 2011, date à laquelle il est, selon le registre de cet office, rentré de Chine. Il est ainsi présumé avoir résidé effectivement à cette adresse depuis lors. Au vu des courriers de la bénéficiaire ainsi que de ses déclarations et de celles de son fils à la chambre de céans, il convient de retenir comme établi que l'intéressé ne résidait pas continuellement chez sa mère. Il n'a toutefois pas été possible d'obtenir des informations claires sur ses différents lieux de résidence et leur durée respective. Il a certes soutenu avoir résidé deux ans chez son ex-femme à son retour de Chine, mais ses déclarations n'emportent pas conviction, car il a précisé s'être domicilié officiellement chez sa mère après la période de deux ans passée chez son ex-femme, ce qui entre en contradiction avec les données du registre de l'OCPM, selon lesquelles, il l’a fait dès son retour de Chine. Sa mère a, quant à elle, mentionné, le 9 août 2015 et le 7 mars 2016, un séjour de son fils à son retour de Chine chez une amie intime, sans préciser qu'il s'agissait de son ex-femme, ni confirmer que ce séjour aurait duré deux ans. Ce n'est que le 29 août 2016, lors de son audition devant la chambre de céans, qu'elle a mentionné que son fils avait séjourné chez son ex-femme, sans toutefois préciser que c'était à son retour de Chine et tout en précisant que son « port d'attache » était chez elle. Il résulte des considérations qui précèdent qu'il est établi, avec le degré de vraisemblance prépondérante requis, que le lieu avec lequel le fils de la bénéficiaire avait les liens les plus forts pendant la période considérée était chez sa mère et il se justifie en conséquence de retenir ce lieu comme son domicile dès avril 2011. C'est ainsi à juste titre que le SPC a tenu compte du fait d'une cohabitation stable avec sa mère.</w:t>
      </w:r>
    </w:p>
    <w:p>
      <w:r>
        <w:t>A/795/2016 - 14/15 - c. Cela établi, il faut déterminer si le SPC pouvait prendre en compte dans son nouveau calcul des dépenses de la bénéficiaire la moitié du loyer, dès avril 2011. Le fils de la bénéficiaire, qui ne peut prétendre à une rente d’enfant ou d’orphelin, n’est pas inclus dans le calcul des prestations complémentaires (art. 9 al. 2 LPC). Les circonstances permettent de considérer que la bénéficiaire n'était pas tenue de pourvoir à son entretien, ne serait-ce qu'en raison de ses ressources trop modestes. Dans la mesure où celui-ci n’est pas principalement venu s’installer chez sa mère dans le but de l’aider, mais car il était sans revenu, à teneur de ses déclarations à la chambre de céans, il avait un intérêt propre à habiter gratuitement le logement de sa mère. Le fait que celle-ci soit diabétique et ait pu se sentir sécurisée par sa présence ne suffit pas pour retenir qu'il pouvait être exonéré du paiement de la moitié du loyer, sa présence n'étant pas indispensable et par ailleurs, discontinue. Le but des prestations complémentaires est d’assurer au bénéficiaire de rentes AVS ou AI des moyens d’existence essentiels et non de financer les besoins de tierces personnes. En conséquence, l'on ne saurait retenir en faveur de la bénéficiaire l'existence d'un devoir moral prenant la forme d'une remise de loyer en faveur de son fils, quand bien même il y a lieu de relever que le fait de vouloir lui rendre service est compréhensible et louable. Si le fils de la bénéficiaire n'avait pas les moyens de subvenir à ses besoins, il lui appartenait de faire des démarches pour obtenir l'aide financière de l'État, mais il ne pouvait l'obtenir, indirectement, par le biais des prestations complémentaires destinées à sa mère. Il en résulte que le loyer de la bénéficiaire devait être réparti entre elle et son fils, même si ce dernier n’a pas participé effectivement à son financement. Dès lors, c’est à juste titre que le SPC n’a pris en considération, au titre des dépenses reconnues, dans la période considérée, que la moitié du loyer. d. Les décisions de restitution des prestations ont été rendues, les 3 et 9 juillet 2015, soit moins d'une année, après l'annonce du partage du logement par la recourante, qui est intervenue en avril 2015, de sorte que le droit de l'intimé de demander la restitution n’est pas prescrit. e. Les montants réclamés n'ont pas été contestés en tant que tel et n'appellent pas les critiques, au vu des pièces au dossier. f. Par conséquent, les conditions légales pour demander la restitution de CHF 7'472.65 étaient réunies.</w:t>
      </w:r>
    </w:p>
    <w:p>
      <w:r>
        <w:rPr>
          <w:b/>
        </w:rPr>
        <w:t>E. 14</w:t>
      </w:r>
    </w:p>
    <w:p>
      <w:r>
        <w:t>Justifiée la décision querellée sera confirmée et le recours rejeté.</w:t>
      </w:r>
    </w:p>
    <w:p>
      <w:r>
        <w:rPr>
          <w:b/>
        </w:rPr>
        <w:t>E. 15</w:t>
      </w:r>
    </w:p>
    <w:p>
      <w:r>
        <w:t>La cause sera renvoyée à l'intimé pour qu'il se prononce sur la demande de remise de l’obligation de restituer.</w:t>
      </w:r>
    </w:p>
    <w:p>
      <w:r>
        <w:rPr>
          <w:b/>
        </w:rPr>
        <w:t>E. 16</w:t>
      </w:r>
    </w:p>
    <w:p>
      <w:r>
        <w:t>La procédure est gratuite.</w:t>
      </w:r>
    </w:p>
    <w:p>
      <w:r>
        <w:t>A/795/2016 - 15/15 -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