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ATAS/764/2023 vom 10. Oktober 2023</w:t>
      </w:r>
    </w:p>
    <w:p>
      <w:r>
        <w:t>GE Cour de justice, 2023-10-10, FR</w:t>
      </w:r>
    </w:p>
    <w:p>
      <w:r>
        <w:rPr>
          <w:b/>
        </w:rPr>
        <w:t xml:space="preserve">Quelle: </w:t>
      </w:r>
      <w:r>
        <w:t>https://mcp.opencaselaw.ch/entscheid/ge_gerichte_ATAS_764_2023</w:t>
      </w:r>
    </w:p>
    <w:p>
      <w:r>
        <w:t>FR: GE_GERICHTE ATAS/764/2023 du 10 octobre 2023</w:t>
      </w:r>
    </w:p>
    <w:p>
      <w:r>
        <w:t>IT: GE_GERICHTE ATAS/764/2023 del 10 ottobre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w:t>
      </w:r>
    </w:p>
    <w:p>
      <w:r>
        <w:rPr>
          <w:b/>
        </w:rPr>
        <w:t>E. 4</w:t>
      </w:r>
    </w:p>
    <w:p>
      <w:r>
        <w:t>L'objet du litige porte uniquement sur le droit éventuel à une rente d'invalidité de la recourante, qui a le statut d'active à 100% comme considéré à tout le moins implicitement par l’intimé.</w:t>
      </w:r>
    </w:p>
    <w:p>
      <w:r>
        <w:t>A/3779/2021 - 6/26 - Ne fait l’objet du litige un éventuel droit à des mesures professionnelles de l'AI. En effet, l’intéressée ne conclut clairement pas à de telles mesures, limitant ses conclusions de recours à l’octroi d’une rente. En outre, en audience, après que la représentante de l’intimé a dit que, compte tenu de la capacité de travail retenue, un droit à des mesures professionnelles n'entre pas en ligne de compte, la recourante et son curateur et/ou la juriste du SPAd n’ont pas réagi et, au demeurant, ensuite, l’assurée a déclaré qu’à 61 ans, elle ne se voit pas faire un stage d'ordre professionnel.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les modifications de la LAI et de la LPGA du 19 juin 2020 (développement continu de l'AI ; RO 2021 705), y compris les ordonnances correspondantes, sont entrées en vigueur. En cas de changement de règles de droit, la législation applicable reste, en principe, celle qui était en vigueur au moment où les faits juridiquement déterminants se sont produits et le juge se fonde, en règle générale, sur l'état de fait réalisé à la date déterminante de la décision litigieuse (ATF 144 V 210 consid. 4.3.1 et la référence). En l'occurrence, la décision querellée a été rendue antérieurement au 1er janvier 2022, de sorte que les dispositions légales applicables seront citées dans leur ancienne teneur (cf. ATF 148 V 174 consid. 4.1).</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"dans son domaine d'activité" plutôt que "qui entre en considération"). Seules les conséquences de l'atteinte à la santé sont prises en compte pour juger de la présence d'une incapacité de gain. De plus, il n'y a</w:t>
      </w:r>
    </w:p>
    <w:p>
      <w:r>
        <w:t>A/3779/2021 - 7/26 -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 condition que l'intimé n'a pas considéré comme remplie en admettant une incapacité totale de travail du 22 juillet 2016 au 6 février 2017 -; au terme de cette année, il est invalide (art. 8 LPGA) à 40% au moins (let. c). Selon l'art. 28 al. 2 LAI, l'assuré a droit à une rente entière s'il est invalide à 70% au moins, à un trois quarts de rente s'il est invalide à 60% au moins, à une demi- rente s'il est invalide à 50% au moins, ou à un quart de rente s'il est invalide à 40% au moins.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w:t>
      </w:r>
    </w:p>
    <w:p>
      <w:r>
        <w:t>A/3779/2021 - 8/26 - volonté; la mesure de ce qui est exigible doit être déterminée aussi objectivement que possible (ATF 127 V 294 consid. 4c; ATF 102 V 165 consid. 3.1; VSI 2001 p. 223 consid. 2b; arrêt du Tribunal fédéral I 786/04 du 19 janvier 2006 consid. 3.1).</w:t>
      </w:r>
    </w:p>
    <w:p>
      <w:r>
        <w:rPr>
          <w:b/>
        </w:rPr>
        <w:t>E. 6.4.1</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6.4.2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A/3779/2021 - 9/26 -</w:t>
      </w:r>
    </w:p>
    <w:p>
      <w:r>
        <w:rPr>
          <w:b/>
        </w:rPr>
        <w:t>E. 6.5</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6.5.1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6.5.2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A/3779/2021 - 10/26 -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w:t>
      </w:r>
    </w:p>
    <w:p>
      <w:r>
        <w:t>A/3779/2021 - 11/26 - jurisprudence rendue sous l'empire de l'art. 4 aCst. étant toujours valable (ATF 124 V 90 consid. 4b; ATF 122 V 157 consid. 1d).</w:t>
      </w:r>
    </w:p>
    <w:p>
      <w:r>
        <w:rPr>
          <w:b/>
        </w:rPr>
        <w:t>E. 7</w:t>
      </w:r>
    </w:p>
    <w:p>
      <w:r>
        <w:t>octobre 2022. À la fin de ce rapport, se référant au comportement et à la manière de penser de la patiente, ladite psychiatre traitante écrit : « Cette manière paranoïaque d’interpréter chaque intention de l’autre, et de ses employeurs en particulier, comme hostile à son égard, est typique d’un trouble de la personnalité paranoïaque et ne permet clairement pas une (ré)-insertion de cette personne dans le monde du travail ».</w:t>
      </w:r>
    </w:p>
    <w:p>
      <w:r>
        <w:rPr>
          <w:b/>
        </w:rPr>
        <w:t>E. 7.1</w:t>
      </w:r>
    </w:p>
    <w:p>
      <w:r>
        <w:t>En l’espèce, le rapport d'expertise du 22 mars 2021 des Dresses D______ et E______, y compris au plan psychiatrique et avec le complément du 37 septembre 2021, répond, sur le plan formel, aux exigences posées par la jurisprudence pour qu'on puisse lui accorder une pleine valeur probante. En effet, cette expertise bidisciplinaire a été conduite par des médecins spécialisées dans chaque domaine concerné, en vue d'établir une synthèse des différentes pathologies de l'expertisée, sur la base d'observations approfondies et d'investigations complètes - selon les renseignements alors à leur disposition, même si l'on peut regretter que l'experte psychiatre n'ait pas cherché à prendre connaissance du rapport d'hospitalisation des HUG à la suite de l'altercation avec les encadrants de l'abris PC (cf. ci-après) - , ainsi qu'en pleine connaissance du dossier dont elles pouvaient avoir connaissance, l'intéressée admettant dans son recours avoir omis d'indiquer être suivie par la Dresse F______ et avoir subi des hospitalisations à la Clinique de Belle-Idée. Les expertes ont personnellement examiné la recourante préalablement à l'établissement de leur rapport d'expertise. Le fait que l'assurée ajoute dans son recours " seulement " à la durée de 2h00 ne saurait impliquer que l'entretien entre l'experte psychiatre et l'expertisée aurait été mené de manière insuffisante. Par ailleurs, les expertes ont consigné les renseignements anamnestiques pertinents, recueilli les plaintes de l'assurée et résumé leurs propres constatations. Elles ont en outre énoncé les diagnostics retenus et répondu à toutes les questions posées. Enfin, leurs conclusions sont claires et bien motivées. C'est sur la base de griefs de fond que la recourante conteste la valeur probante de ce rapport d'expertise - suivi par le SMR -, ce non au plan somatique mais uniquement psychique, en se fondant essentiellement sur les avis de ses psychiatres traitantes successives, la Dresse F______ puis la Dresse H______, ainsi que, d'une manière moins directe, sur les rapports de la Dresse B______ et de la Clinique de Belle-Idée.</w:t>
      </w:r>
    </w:p>
    <w:p>
      <w:r>
        <w:rPr>
          <w:b/>
        </w:rPr>
        <w:t>E. 7.2</w:t>
      </w:r>
    </w:p>
    <w:p>
      <w:r>
        <w:t>Il convient dans un premier temps d’énoncer les points pertinents au plan psychiatrique des différents rapports médicaux figurant au dossier.</w:t>
      </w:r>
    </w:p>
    <w:p>
      <w:r>
        <w:rPr>
          <w:b/>
        </w:rPr>
        <w:t>E. 7.2.1</w:t>
      </w:r>
    </w:p>
    <w:p>
      <w:r>
        <w:t>Dans leur rapport d’expertise, qui ne mentionne pas des rapports de la Dresse F______ ou des HUG, les expertes mentionnent notamment dans l’anamnèse ce qui suit : en mars 2019, la recourante est revenue en Suisse pour s’occuper des grands-parents de sa fille (chez lesquels cette dernière vivait), mais le curateur des grands-parents a déposé plainte pénale contre l’intéressée pour abus de confiance, au motif qu’elle serait revenue pour profiter financièrement d’eux, d’où trois semaines d’incarcération et une mesure judiciaire d’éloignement de ce domicile depuis septembre 2019 ; depuis septembre 2019, l’assurée est sans domicile fixe ; elle a dans un premier temps été logée dans des abris PC mais en a</w:t>
      </w:r>
    </w:p>
    <w:p>
      <w:r>
        <w:t>A/3779/2021 - 12/26 - été définitivement exclue à la suite d’une altercation avec les encadrants (tandis que l’expertisée indique avoir « réconforté une femme » en période COVID), encadrants qui ont fait intervenir la police et l’ambulance, ce qui a été suivi d’une hospitalisation aux HUG avec évaluation de son état psychique ; depuis octobre 2020, l’assurée est logée dans une chambre d’hôtel aux frais de l’Etat ; elle y a été agressée au couteau le 17 novembre 2020 par un homme qu’elle avait accueilli dans sa chambre, après quoi elle est parvenue à rejoindre le poste de police le plus proche puis a été opérée aux HUG (avec hospitalisation d’une semaine). Les expertes posent les diagnostics, non incapacitants, suivants : au plan somatique, « K70 hépatopathie d’origine éthylique », status après lésion cervicale par arme blanche, status après appendicectomie et status après opération d’hallus valgus ; au plan psychique, d’une part troubles mentaux et du comportement liés à l’utilisation d’alcool, syndrome de dépendance, utilisation continue (F10.25 de la CIM-10), troubles au sujet desquels le bilan (résultats des analyses médicales) permet de retenir une consommation persistante et non problématique, d’autre part troubles mixtes de la personnalité et autres troubles de la personnalité, antisociaux et évitant (F61), personnalité « retenue non décompensée, en présence d’une consommation de l’éthyle non problématique ». D’après le rapport d’expertise psychiatrique, l’expertisée consomme environ une bouteille de vin rouge par jour (en le coupant avec de l’eau). Elle n’a ni « idées étranges, bizarres (idées délirantes) », ni sensation étranges bizarres (hallucinations), ni « syndrome d’automatisme mental (influence, écho/vol de la pensée, télé- ou radiodiffusion des pensées, etc.) ». Selon l’entretien du 26 janvier 2021, l’expertisée est collaborante, ne présente pas de ralentissement psychomoteur ni de trouble du cours de la pensée, et sa thymie est neutre ; elle ne décrit pas de trouble des fonctions cognitives, la mémoire est précise, les éléments anamnestiques sont donnés avec précision, et il n’y pas de trouble de l’attention ni de la concentration ; l’assurée décrit dormir peu, mais avec un sommeil réparateur, ses fonctions instinctuelles sont préservées, elle n’a ni idées noires, ni idées suicidaires, ni sentiment d’avenir bouché ; elle décrit une forme d’anxiété qu’elle pallie avec des consommations d’éthyle, et elle ne présente pas de trouble anxieux structuré ; elle décrit des comportements méfiants, avec des idées parfois de persécution, « des situations régulièrement secondaires à des consommations importantes de l’éthyle ». Sa situation socio-économique est particulièrement précaire. En conclusion, d’après les expertes, en l’absence de diagnostic incapacitant, il n’y a pas de limitations fonctionnelles, ni de recommandation thérapeutique ; la capacité de travail de l’expertisée a toujours été de 100% dans toute activité (« selon l’horaire de la branche concernée » et sans diminution de performance).</w:t>
      </w:r>
    </w:p>
    <w:p>
      <w:r>
        <w:rPr>
          <w:b/>
        </w:rPr>
        <w:t>E. 7.2.2</w:t>
      </w:r>
    </w:p>
    <w:p>
      <w:r>
        <w:t>Dans son – premier – rapport du 26 mai 2021, la Dresse F______, psychiatre traitante en tant que médecin interne au CAPPI depuis le 23 octobre 2020, indique avoir pu mettre en évidence un trouble d’ordre psychiatrique qui ne</w:t>
      </w:r>
    </w:p>
    <w:p>
      <w:r>
        <w:t>A/3779/2021 - 13/26 - se limite pas seulement à un trouble mental et du comportement lié à l’utilisation d’alcool ou à un trouble de personnalité, se plaint de ne pas avoir été contactée par les expertes et constate une incapacité de travail de 100% pour des raisons d’ordre psychiatrique. Dans son – second – rapport du 15 juin 2021, la Dresse F______ reproche tout d’abord au rapport d’expertise d’avoir indiqué que la patiente ne suivait aucun traitement. Cette absence de mention de traitement apparaît toutefois découler du fait que l’expertisée n’en aurait pas parlé aux expertes. La Dresse F______ remet ensuite en cause l’absence de caractère incapacitant du diagnostic ; de son point de vue, l’assurée souffre d’un trouble délirant persistant à caractère persécutoire qui affecte gravement ses relations interpersonnelles et sa capacité de travail. Enfin, comme troisième et quatrième reproches, contrairement à ce qu’a retenu la Dresse E______, la patiente a, au cours de ses entretiens avec la psychiatre traitante, régulièrement présenté des idées délirantes de persécution à mécanisme interprétatif et imaginatif, d’adhésion totale, en-dehors des consommations d’alcool ; elle a manifesté des signes clairs de persécution et de méfiance dès que la Dresse F______ a essayé de critiquer ses idées, en se montrant de plus en plus méfiante à son égard, irritable et complètement anosognosique de son trouble ; la perception altérée de la réalité rend l’intéressée très isolée et vulnérable, avec des répercussions sur sa situation sociale, administrative et financière, et peut aussi la mettre en danger, par la mauvaise interprétation de la réalité et la sous-estimation de certains risques, comme le montre l’agression au couteau de novembre 2021 par un SDF ; à la forte perturbation du sens de la réalité s’ajoute une capacité de jugement fortement altérée ; ces altérations perturbent grandement ses capacités relationnelles, qui sont pathologiques ; son état clinique serait susceptible de s’améliorer avec un traitement médicamenteux, que la patiente refuse pourtant obstinément ; bien que la recourante n’ait jamais présenté de signes d’alcoolisation, elle peut se présenter aux consultations de façon irrégulière, avec aussi un discours moins organisé et par moments décousu ; ceci pourrait être expliqué par des séquelles cognitives dues à une consommation d’alcool de longue durée et qui peuvent également entraver la capacité de travail ; cette dernière est nulle pour des raisons d’ordre psychiatrique.</w:t>
      </w:r>
    </w:p>
    <w:p>
      <w:r>
        <w:rPr>
          <w:b/>
        </w:rPr>
        <w:t>E. 7.2.3</w:t>
      </w:r>
    </w:p>
    <w:p>
      <w:r>
        <w:t>La lettre de sortie établie le 26 juin 2020 par la Clinique de Belle-Idée (HUG) à la suite de l'hospitalisation, acceptée par l'intéressée, du 30 avril au 14 mai 2020 pose le diagnostic principal de " trouble délirant à type de persécution (30/03/2020) " et les diagnostics secondaires de lésion traumatique d'un tendon (28 avril 2020), traitée, ainsi que d'" autres difficultés liées au logement et aux conditions économiques ". Selon ce rapport, il n'y a pas d'antécédents psychiatriques connus. Elle a ces derniers jours, à savoir les 16, 27, 28 et 30 avril 2020, fait plusieurs passages aux urgences psychiatriques des HUG dans des contextes de troubles du comportement sur la voie publique ou d'occupation de domicile (beaux-parents). Elle était alors sans suivi ni traitement.</w:t>
      </w:r>
    </w:p>
    <w:p>
      <w:r>
        <w:t>A/3779/2021 - 14/26 - L'hospitalisation commencée le 30 avril 2020 a été précédée d'un envoi aux urgences (où elle a passé une nuit) par la police et les ambulanciers en raison de troubles du comportement sur la voie publique (insultes, cris, propos incohérents, marche pieds nus), dans un contexte d'absence - passagère - de logement. À l'" examen psychiatrique d'entrée ", la patiente, notamment, est calme, collaborante, adéquate dans le contact et le comportement, avec une thymie neutre, sans anhédonie ni asthénie, ni troubles du sommeil ni idées suicidaires ; " discours logorrhéique avec un contenu persécutoire sub-délirant " ; " la pensée est globalement organisée et suit un cours cohérent " ; « pas d'hallucination ». Durant l'hospitalisation, l'intéressée a refusé le traitement médicamenteux par Haldol 5 mg le soir, et elle a accompli un acte de malveillance à l'encontre d'une autre patiente, très fragile psychiquement, en lui faisant signer un bail en sa faveur ; le reste du séjour s'est déroulé sans trouble du comportement. À l'« examen psychiatrique de sortie », la recourante est également calme et collaborante, " orientée dans les 4 modes, attention et concentration préservées ", " discours globalement clair et informatif, sans élément délirant manifeste au premier plan, persistance d'un fond de persécution, absence de conscience morbide ". Est prescrit, comme " traitement à la sortie ", le halopéridol Haldol 5 mg une fois par jour (soir).</w:t>
      </w:r>
    </w:p>
    <w:p>
      <w:r>
        <w:rPr>
          <w:b/>
        </w:rPr>
        <w:t>E. 7.2.4</w:t>
      </w:r>
    </w:p>
    <w:p>
      <w:r>
        <w:t>Par complément d'expertise du 27 septembre 2021, la Dresse E______, experte psychiatre, de manière motivée, répond négativement à la question posée par l'office de savoir si ces nouveaux éléments médicaux - rapports de la Dresse F______ et de la Clinique de Belle-Idée -, reçus après l'établissement de l'expertise, seraient susceptibles de modifier son appréciation. En effet, de l'avis de l'experte psychiatre, le fait que, durant l'hospitalisation, l'expertisée a tenté de soudoyer une patiente hospitalisée, la courte durée de l'hospitalisation ainsi que le faible dosage du Haldol (5 mg, alors que des troubles hallucinatoires et psychotiques peuvent être stabilisés sous traitement de plus de 20 mg de Haldol) ne permettent pas de justifier des troubles psychiatriques à caractère incapacitant. D'après la Dresse E______, " les troubles à manifestation persécutoire ou psychotique léger peuvent apparaître lors de périodes de décompensation d'un trouble de la personnalité ou lors de la présence d'un noyau psychotique ancien. La prise en charge dans ce cas peut se faire en ambulatoire ". L'experte psychiatre conclut ainsi : " En somme, à la lecture du dossier médical dans sa totalité, nous ne retenons pas d'informations psychiatriques nouvelles, significatives, permettant de justifier de modifier nos conclusions du rapport en expertise du 26 janvier 2021 ".</w:t>
      </w:r>
    </w:p>
    <w:p>
      <w:r>
        <w:rPr>
          <w:b/>
        </w:rPr>
        <w:t>E. 7.2.5</w:t>
      </w:r>
    </w:p>
    <w:p>
      <w:r>
        <w:t>Dans son rapport du 7 octobre 2022, la nouvelle psychiatre traitante depuis le 11 mai 2022, la Dresse H______, mentionne que la recourante a été en rupture totale de soins depuis près d’une année, « ayant un discours persécutoire par rapport au CAPPI », et elle écrit ce qui suit : « Si [l’assurée] a pu faire illusion dans les 2 premiers entretiens, progressivement j’ai constaté une désorganisation</w:t>
      </w:r>
    </w:p>
    <w:p>
      <w:r>
        <w:t>A/3779/2021 - 15/26 - de la pensée, des coq-à-l’âne avec perte du fil de la pensée, un délire de persécution chronique peu structuré et un trouble du jugement, avec une impossibilité d’expliquer clairement les motivations qui l’ont poussée à cette errance durant plusieurs années entre la Suisse et la France. On constate également qu’elle n’a jamais pu tenir un travail plus de quelques mois, malgré ses compétences linguistiques et son diplôme de secrétaire, sans qu’elle puisse donner des raisons claires à ce fait. De même, elle n’a pas pu obtenir de travail fixe en France, alors même qu’elle y a fait ses études. Ses deux enfants ont été précocement retirés à sa garde, pourtant à des années de distance, le fils ayant été confié au père et la fille à une famille d’accueil (contrairement à ce qu’ont noté les experts, la curatelle de sa fille n’a pas été confiée au grand-père, c’est le grand- père qui a été mis sous curatelle). Ces simples faits auraient dû déjà mettre la puce à l’oreille de l’expert-psychiatre ». Puis : « C’est lorsqu’on s’intéresse à ce qu’elle écrit (les soi-disants mémoire dont parle l’experte) que le délire saute aux yeux : il s’agit de textes complètement incohérents et revendicateurs, sautant d’un sujet à l’autre, sans queue ni tête, truffés de copiés-collés de bouts de Wikipedia, et qu’elle envoie par mails à un sénateur français et à des journalistes, et parfois à ses enfants et à toute personne qui s’intéresse à elle. Elle y mélange pêle-mêle la politique française et suisse, des attaques contre diverses autorités et des partis, et sa vie privée. Elle fait des liens paranoïaques entre ce qui lui arrive et des événements politiques. Par exemple, elle fait un lien avec le fait qu’elle a été expulsée de son appartement à Genève en 2007 et les élections françaises qui ont eu lieu cette même année. Elle passe plusieurs nuits par semaine à envoyer ces e- mails incohérents. […] ». La Dresse H______ arrive ainsi aux diagnostics « clairs » de schizophrénie paranoïde (F20.0) et de syndrome de dépendance à l’alcool, utilisation continue (F10.25). Il s’agit donc, selon la psychiatre traitante, d’une maladie psychiatrique grave et chronique, dont la cause ne semble pas être ici la consommation chronique d’alcool et qui a comme conséquence une incapacité totale de travailler, depuis de nombreuses années, comme en témoigne le parcours professionnel chaotique de la patiente. Dans son rapport du 25 mai 2023, la Dresse H______, se référant parfois à sa confrontation en audience avec la Dresse E______, maintient, en les complétant, les constations, appréciations et conclusions contenues dans son rapport du</w:t>
      </w:r>
    </w:p>
    <w:p>
      <w:r>
        <w:rPr>
          <w:b/>
        </w:rPr>
        <w:t>E. 7.2.6</w:t>
      </w:r>
    </w:p>
    <w:p>
      <w:r>
        <w:t>Dans ses réponses du 21 avril 2021 aux questions du formulaire AI, la Dresse B______, médecin généraliste à Montpellier (France), qui a suivi l’intéressée en traitement ambulatoire du 16 octobre 2012 au 4 octobre 2018,</w:t>
      </w:r>
    </w:p>
    <w:p>
      <w:r>
        <w:t>A/3779/2021 - 16/26 - indique qu’en raison d’un alcoolisme et d’un trouble de la personnalité présents depuis 2007 et obstacles à une réadaptation, la capacité de travail exigible de l’intéressée est nulle dans l’activité habituelle et une activité adaptée (toute activité). Ont une incidence sur la capacité de travail un syndrome dépressif et un syndrome de Diogène. À cet égard, selon les documents français produits le 24 avril 2023 par la recourante, le 1er octobre 2018, la Dresse B______ énonce plusieurs résultats d’analyse, et, le 4 octobre 2018, dans le document officiel « certificat médical », entre autres sous « pathologie motivant la demande », fait état des atteintes à la santé suivantes : un trouble anxieux (régulier), un syndrome dépressif (permanent et non avoué), une instabilité émotionnelle (permanente), un état psychique non stabilisé, ainsi qu’une exogénose (synonyme d’éthylisme ou d’alcoolisme [cf. « https://www.dictionnaire-medical.fr/definitions/133-exogenose/ ») et une lésion précancéreuse du col de l’utérus, avec un « sentiment profond de rejet et d’injustice », dans le contexte d’une fragilité psychologique très importante et d’un parcours socioprofessionnel et personnel très perturbé à l’origine de troubles anxieux, avec une consommation d’alcool à but anxiolytique qui a aggravé la situation, de même qu’un déni au sujet de ses problèmes de santé (y compris sa dépendance à l’alcool) et un refus de prise en charge psychologique. La patiente sait accomplir toutes les fonctions en matière de mobilité, communication, cognition, entretien personnel, vie quotidienne et vie domestique, si ce n’est qu’elle maîtrise avec difficulté son comportement et gère avec difficulté le suivi des soins. Sa situation au plan familial est marquée par l’isolement, et il n’y a pas d’« aidant familial ».</w:t>
      </w:r>
    </w:p>
    <w:p>
      <w:r>
        <w:rPr>
          <w:b/>
        </w:rPr>
        <w:t>E. 7.3</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A/3779/2021 - 17/26 -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w:t>
      </w:r>
    </w:p>
    <w:p>
      <w:r>
        <w:rPr>
          <w:b/>
        </w:rPr>
        <w:t>E. 7.3.1</w:t>
      </w:r>
    </w:p>
    <w:p>
      <w:r>
        <w:t>En particulier, sous l'axe " atteinte à la santé " (A) - de la catégorie " degré de gravité fonctionnel - des indicateurs développés par le Tribunal fédéral, en particulier le " caractère prononcé des éléments et des symptômes pertinents pour le diagnostic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d'AI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La présence de comorbidités ou troubles concomitants - sous le complexe " atteinte à la santé " (A) des indicateurs développés par le Tribunal fédéral -,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w:t>
      </w:r>
    </w:p>
    <w:p>
      <w:r>
        <w:t>A/3779/2021 - 18/26 -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(F34.1), prise séparément, n'est pas invalidante, mais peut l'être lorsqu'elle se présente avec d'autres affections, à l'instar d'un grave trouble de la personnalité (ATF 143 V 418 consid. 8.1 ; arrêt du Tribunal fédéral 9C_599/2019 du 24 août 2020 consid. 5.1 et la référence). Pour en évaluer les éventuels effets limitatifs, ces atteintes doivent en principe faire l'objet d'une procédure probatoire structurée selon l'ATF 141 V 281 (arrêt du Tribunal fédéral 9C_599/2019 précité consid. 5.1). Ainsi,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7.3.2</w:t>
      </w:r>
    </w:p>
    <w:p>
      <w:r>
        <w:t>Concernant l'axe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 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w:t>
      </w:r>
    </w:p>
    <w:p>
      <w:r>
        <w:t>A/3779/2021 - 19/26 - sans peur de l'avenir (arrêt du Tribunal fédéral 8C_584/2016 du 30 juin 2017 consid. 5.2).</w:t>
      </w:r>
    </w:p>
    <w:p>
      <w:r>
        <w:rPr>
          <w:b/>
        </w:rPr>
        <w:t>E. 7.3.3</w:t>
      </w:r>
    </w:p>
    <w:p>
      <w:r>
        <w:t>Sous l'axe " contexte social " (C),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rPr>
          <w:b/>
        </w:rPr>
        <w:t>E. 7.3.4</w:t>
      </w:r>
    </w:p>
    <w:p>
      <w:r>
        <w:t>Il convient ensuite, dans la catégorie " cohérence " (II),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En particulier, sous l'axe " limitation uniforme du niveau des activités dans tous les domaines comparables de la vie " (A), il s'agit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w:t>
      </w:r>
    </w:p>
    <w:p>
      <w:r>
        <w:t>A/3779/2021 - 20/26 -</w:t>
      </w:r>
    </w:p>
    <w:p>
      <w:r>
        <w:rPr>
          <w:b/>
        </w:rPr>
        <w:t>E. 7.4.1</w:t>
      </w:r>
    </w:p>
    <w:p>
      <w:r>
        <w:t>Dans le cas présent, tout d’abord, le diagnostic de schizophrénie paranoïde (F20.0) posé par la Dresse H______ n’est corroboré par aucun élément du dossier, qui ne fait du reste aucunement ressortir des hallucinations (auditives, cinesthésiques notamment) alors que celles-ci accompagnent habituellement une telle maladie, selon la description de la CIM-10 (téléchargeable depuis internet sous « https://www.bfs.admin.ch/asset/fr/20665872 »).</w:t>
      </w:r>
    </w:p>
    <w:p>
      <w:r>
        <w:rPr>
          <w:b/>
        </w:rPr>
        <w:t>E. 7.4.2</w:t>
      </w:r>
    </w:p>
    <w:p>
      <w:r>
        <w:t>Par rapport au diagnostic de trouble délirant à caractère persécutoire, persistant (cf. F22.-) selon la Dresse F______, sans précision quant à sa durée dans le rapport de la Clinique de Belle-Idée, l’experte psychiatre E______ note, dans son complément du 27 septembre 2021 : « Les troubles à manifestation persécutoire ou psychotique léger peuvent apparaître lors de périodes de décompensation d'un trouble de la personnalité ou lors de la présence d'un noyau psychotique ancien ». Elle se détermine aussi oralement (procès-verbal d’enquêtes, p. 4 s.) de la manière suivante : « Il est possible que la recourante ait eu un noyau psychotique ancien. En effet, tout en restant dans l'axe 2 (trouble de la personnalité) il y a un fonctionnement interprétatif, qui est le noyau psychotique repéré lors de l'évaluation et qui est délirant et qui peut être gênant dans des périodes de décompensation. S'il y a plusieurs périodes de décompensation cela peut être incapacitant suivant la nature de ces décompensations, notamment s'il y a ou non des prises de substances psychoactives. Le dossier ne montre pas, à ma connaissance, plusieurs décompensations ni de traitement psychotrope retard habituellement utilisé dans ce genre de situation. Pour qu'on puisse retenir un caractère incapacitant, il faut qu'il y ait un dysfonctionnement dans la vie quotidienne et un suivi psychiatrique avec traitement médicamenteux même en ambulatoire. L'entretien a montré, concernant le fonctionnement quotidien, que l'expertisée arrivait à s'informer et à organiser sa journée de telle sorte à se nourrir et subvenir à ses besoins. Il n'y a pas eu d'éléments montrant un dysfonctionnement entravant l'exercice d'une activité professionnelle, à tout le moins au plan psychiatrique et dans le cadre de l'expertise. L'expertisée nous a dit qu'elle avait voulu aider des personnes âgées et que cela s'était retourné contre elle et qu'elle voulait aussi écrire sa vie ». Ces explications de l’experte psychiatre sont convaincantes, sans qu’elles puissent être mises en doute par les critiques et appréciations contraires énoncées par les autres médecins spécialistes en psychiatrie, ce pour les motifs qui suivent.</w:t>
      </w:r>
    </w:p>
    <w:p>
      <w:r>
        <w:rPr>
          <w:b/>
        </w:rPr>
        <w:t>E. 7.4.3</w:t>
      </w:r>
    </w:p>
    <w:p>
      <w:r>
        <w:t>Comme la Dresse E______ l'indique sans que la Dresse H______ le conteste (procès-verbal d'enquêtes, p. 4), rien n'indique qu'il y ait eu un autre épisode de décompensation que celui qui a mené à l'hospitalisation à la Clinique de Belle- Idée du 30 avril au 14 mai 2020. Certes, de l'avis de la psychiatre traitante actuelle (procès-verbal d'enquêtes, p. 4), " on peut toutefois postuler que ses voyages entre la Suisse et la France sont pathologiques et que c'est dans des moments de décompensation qu'elle fuit dans un autre pays voire qu'elle a perdu la garde de sa</w:t>
      </w:r>
    </w:p>
    <w:p>
      <w:r>
        <w:t>A/3779/2021 - 21/26 - fille et que cette dernière a été placée en famille d'accueil ". Il ne s'agit cependant là que de simples hypothèses, non confirmées par d'autres éléments. À cet égard, le diagnostic de " trouble délirant à type de persécution (30/03/2020) " posé dans la lettre de sortie établie le 26 juin 2020 par la Clinique de Belle-Idée paraît se référer au comportement de l'intéressée avant son hospitalisation, et n'y est aucunement évoqué que ce trouble pourrait le cas échéant être persistant. Ce rapport ne constate ni hallucinations ni délires, mais un " discours logorrhéique avec un contenu persécutoire sub-délirant ", ce dans le cadre de l'unique événement de décompensation de forte intensité attesté au dossier.</w:t>
      </w:r>
    </w:p>
    <w:p>
      <w:r>
        <w:rPr>
          <w:b/>
        </w:rPr>
        <w:t>E. 7.4.4</w:t>
      </w:r>
    </w:p>
    <w:p>
      <w:r>
        <w:t>Les éléments figurant au dossier ne confirment pas une forte altération de la perception de la réalité et de la capacité de jugement (selon la Dresse F______), ni « une désorganisation de la pensée, des coq-à-l’âne avec perte du fil de la pensée, un délire de persécution chronique peu structuré et un trouble du jugement » (d’après la Dresse H______), dans une mesure telle que la capacité de travail pourrait en être affectée de façon significative. Certes, les courriels écrits par l’assurée, en particulier ceux envoyés les 4 et</w:t>
      </w:r>
    </w:p>
    <w:p>
      <w:r>
        <w:rPr>
          <w:b/>
        </w:rPr>
        <w:t>E. 7.4.5</w:t>
      </w:r>
    </w:p>
    <w:p>
      <w:r>
        <w:t>Au surplus, sous l'angle du " succès du traitement et de la réadaptation ou résistance à cet égard " - dans le complexe " atteinte à la santé " (A) -, il n'y a pas ici d'échec définitif d'une thérapie médicalement indiquée et réalisée selon les règles de l'art ni d'échec d'une mesure de réadaptation - malgré une coopération optimale de l'assuré - (cf. a contrario arrêt du Tribunal fédéral 9C_618/2019 du 16 mars 2020 consid. 8.2.1.3 et la référence), étant précisé que l'intéressée refuse en l’espèce un traitement médicamenteux sans qu’une anosognosie soit retenue par une ou un médecin.</w:t>
      </w:r>
    </w:p>
    <w:p>
      <w:r>
        <w:rPr>
          <w:b/>
        </w:rPr>
        <w:t>E. 7.4.6</w:t>
      </w:r>
    </w:p>
    <w:p>
      <w:r>
        <w:t>Selon le point « déroulement détaillé et représentatif d’une journée type, organisation des loisirs, hobbies, aides nécessaires pour le ménage et dans la vie quotidienne, moyens de transport utilisés, types de déplacement, vacances, etc. » du rapport d’expertise psychiatrique, l’expertisée se réveille à 8h00 et se couche aux environs de 1h00 du matin ; elle regarde l’actualité à la télévision dans sa chambre d’hôtel, puis cherche son repas dans des points d’accès d’une œuvre d’entraide, prend ses repas à l’emporter, partage ce moment avec d’autres personnes qui sont dans la même situation ; elle retourne ensuite à l’hôtel, s’attelle devant son ordinateur pendant des heures à écrire, souhaitant écrire tous les épisodes de sa vie afin de les transmettre à chacun de ses enfants ; elle consomme une bouteille de vin rouge, qu’elle mélange avec de l’eau. Cette description de la vie quotidienne de l’assurée n’est pas contredite par d’autres éléments du dossier, notamment pas par la Dresse H______, qui, dans son rapport du 25 mai 2023, note ce qui suit : « Ses seules occupations sont d’aller d’une distribution alimentaire à une autre et de dépenser son argent à acheter divers objets à bas prix, pour le jour hypothétique où elle pourra revoir ses enfants et petits-enfants, et qu’elle stocke dans sa chambre d’hôtel. (Je rappelle que sa médecin-traitant de Montpellier avait [fait] mention d’un syndrome de Diogène.) Sinon elle passe ses journées à écouter des émissions politiques à la radio et à la TV, à lire les journaux et à commenter tout ça avec qui veut l’écouter et sur les mails qu’elle envoie tous azimuts ». Il sied de préciser que la Dresse E______ a écarté de manière motivée l’existence d’un syndrome de Diogène (rapport d’expertise, p. 29).</w:t>
      </w:r>
    </w:p>
    <w:p>
      <w:r>
        <w:t>A/3779/2021 - 23/26 - Ladite description d’une journée type par l’experte psychiatre ne fait pas apparaître des difficultés particulières à accomplir des tâches et activités quotidiennes, ni des limitations fonctionnelles.</w:t>
      </w:r>
    </w:p>
    <w:p>
      <w:r>
        <w:rPr>
          <w:b/>
        </w:rPr>
        <w:t>E. 7.4.7</w:t>
      </w:r>
    </w:p>
    <w:p>
      <w:r>
        <w:t>Par ailleurs, il est incontesté et incontestable que la recourante vit de manière relativement isolée, avec un réseau social très limité et apparemment sans contacts avec des membres de sa famille, de sorte que l’assurée n’a pas des ressources mobilisables sous cet angle.</w:t>
      </w:r>
    </w:p>
    <w:p>
      <w:r>
        <w:rPr>
          <w:b/>
        </w:rPr>
        <w:t>E. 7.4.8</w:t>
      </w:r>
    </w:p>
    <w:p>
      <w:r>
        <w:t>Pour le reste, il convient de rappeler qu’en ce qui concerne les facteurs psychosociaux ou socioculturels et leur rôle en matière d'invalidité, ils ne figurent pas au nombre des atteintes à la santé susceptibles d'entraîner une incapacité de gain au sens de l'art. 4 al. 1 LAI (ATF 127 V 294 consid. 5a in fine).</w:t>
      </w:r>
    </w:p>
    <w:p>
      <w:r>
        <w:rPr>
          <w:b/>
        </w:rPr>
        <w:t>E. 7.4.9</w:t>
      </w:r>
    </w:p>
    <w:p>
      <w:r>
        <w:t>Au regard de ce qui précède, à l’aune des indicateurs développés par le Tribunal fédéral, et malgré le relatif isolement social de l’intéressée, ni le diagnostic de troubles mixtes de la personnalité et autres troubles de la personnalité, antisociaux et évitant (F61), ni le comportement de la recourante présentant des caractéristiques interprétatif et revendicateur et pouvant parfois se révéler plaintif, accusateur ainsi que confus, ni le déroulement de ses journées (vie quotidienne) n’apparaissent incompatibles avec l’exercice d’une activité professionnelle, consistant par exemple en des tâches simples et répétitives (comme les « tâches physiques ou manuelles simples » du niveau de compétence 1 de l’Enquête suisse sur la structure des salaires [ESS]), à un taux de 100% d’occupation et sans baisse de rendement. La recourante présente certes réellement des souffrances et difficultés au plan psychique, mais celles-ci ne sont pas suffisamment graves pour la reconnaissance d'une invalidité (cf. notamment art. 4 al. 2 LAI). En revanche, au regard de la personnalité et du comportement de l’assurée tels que décrits plus haut, et comme cela ressort du second rapport de la Dresse H______, on pourrait admettre comme – seule – limitation fonctionnelle le besoin d’un emploi comportant le moins possible d’interactions sociales, que ce soit avec le public, des collègues ou des supérieurs hiérarchiques. Des emplois compatibles avec cette limitation fonctionnelle existent en nombre suffisant. À cet égard, d’une part, on relève que les problèmes de comportement de la recourante avec autrui paraissent se manifester principalement lors de contacts d’une certaine durée, et nettement moins lors de contacts brefs ou limités dans le temps. D’autre part, il incombe à l’assurée d’adopter un comportement qui soit le moins préjudiciable à ses relations avec les autres personnes (cf., dans ce sens, art. 7 al. 2 in fine LPGA). 8.</w:t>
      </w:r>
    </w:p>
    <w:p>
      <w:r>
        <w:t>8.1 Pour évaluer le taux d'invalidité, le revenu que l'assuré aurait pu obtenir s'il n'était pas invalide est comparé avec celui qu'il pourrait obtenir en exerçant l'activité qui peut raisonnablement être exigée de lui après les traitements et les</w:t>
      </w:r>
    </w:p>
    <w:p>
      <w:r>
        <w:t>A/3779/2021 - 24/26 - mesures de réadaptation, sur un marché du travail équilibré (art. 16 LPGA et art. 28 al. 2 LAI). 8.2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entre autres lorsque les salaires avant et/ou après invalidité ne peuvent pas être déterminés (arrêt du Tribunal fédéral 9C_237/2016 du 24 août 2016 consid. 2.2 et les références). En l’occurrence, l’extrait de CI montrant des revenus obtenus par le passé en Suisse uniquement sous forme d’indemnités de chômage à partir de 2003 à tout le moins jusqu’au départ pour la France en 2007, il se justifie de comparer les revenus sans et avec invalidité uniquement en rapport avec les taux de capacité de travail et d’éventuel abattement. 8.3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En l’espèce, le taux d’abattement global ne pouvant pas dépasser 25% (maximum), le degré d’invalidité minimal – de 40% - pour l’octroi d’une rente AI ne peut en l’occurrence en aucun cas être atteint, ce qui exclut en tout état de cause le droit de l’intéressée à une telle prestation. 9. Vu ce qui précède, la décision querellée est conforme au droit, et le recours sera dès lors rejeté.</w:t>
      </w:r>
    </w:p>
    <w:p>
      <w:r>
        <w:t>A/3779/2021 - 25/26 -</w:t>
      </w:r>
    </w:p>
    <w:p>
      <w:r>
        <w:rPr>
          <w:b/>
        </w:rPr>
        <w:t>E. 10</w:t>
      </w:r>
    </w:p>
    <w:p>
      <w:r>
        <w:t>La procédure n'étant pas gratuite (art. 69 al. 1bis LAI), un émolument de CHF 200.- (montant minimal) sera perçu de la recourante.</w:t>
      </w:r>
    </w:p>
    <w:p>
      <w:r>
        <w:t>***</w:t>
      </w:r>
    </w:p>
    <w:p>
      <w:r>
        <w:t>A/3779/2021 - 26/26 -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