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ATAS/764/2012 vom 5. Juni 2012</w:t>
      </w:r>
    </w:p>
    <w:p>
      <w:r>
        <w:t>GE Cour de justice, 2012-06-05, FR</w:t>
      </w:r>
    </w:p>
    <w:p>
      <w:r>
        <w:rPr>
          <w:b/>
        </w:rPr>
        <w:t xml:space="preserve">Quelle: </w:t>
      </w:r>
      <w:r>
        <w:t>https://mcp.opencaselaw.ch/entscheid/ge_gerichte_ATAS_764_2012</w:t>
      </w:r>
    </w:p>
    <w:p>
      <w:r>
        <w:t>FR: GE_GERICHTE ATAS/764/2012 du 5 juin 2012</w:t>
      </w:r>
    </w:p>
    <w:p>
      <w:r>
        <w:t>IT: GE_GERICHTE ATAS/764/2012 del 5 giugno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17 janvier 2012 est postérieure à l’entrée en vigueur de la LPGA ainsi qu’à l’entrée en vigueur des diverses modifications de la LAI suscitées, cependant les faits pertinents remontent à 2006. Par conséquent, du point de vue matériel, le droit éventuel à une rente d’invalidité doit être examiné au regard des dispositions de la LPGA et des modifications de la LAI consécutives à la 4ème révision de cette loi (ATF 130 V 445 et les références, voir également ATF 130 V 329).</w:t>
      </w:r>
    </w:p>
    <w:p>
      <w:r>
        <w:rPr>
          <w:b/>
        </w:rPr>
        <w:t>E. 3</w:t>
      </w:r>
    </w:p>
    <w:p>
      <w:r>
        <w:t>Interjeté dans les forme et délai prévus par la loi, le présent recours est recevable (art. 56 à 61 LPGA).</w:t>
      </w:r>
    </w:p>
    <w:p>
      <w:r>
        <w:rPr>
          <w:b/>
        </w:rPr>
        <w:t>E. 4</w:t>
      </w:r>
    </w:p>
    <w:p>
      <w:r>
        <w:t>Le litige porte sur le droit du recourant à une rente d’invalidité dès le 20 avril 2007, et singulièrement sur son incapacité de travail et son degré d’invalidité.</w:t>
      </w:r>
    </w:p>
    <w:p>
      <w:r>
        <w:t>A/594/2012 - 12/23 -</w:t>
      </w:r>
    </w:p>
    <w:p>
      <w:r>
        <w:rPr>
          <w:b/>
        </w:rPr>
        <w:t>E. 5</w:t>
      </w:r>
    </w:p>
    <w:p>
      <w:r>
        <w:t>a) Il sied tout d’abord de déterminer la capacité de travail du recourant et son évolution depuis 2006.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ATFA non publié I 786/04 du 19 janvier 2006, consid. 3.1).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A/594/2012 - 13/23 -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t>A/594/2012 - 14/23 -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w:t>
      </w:r>
    </w:p>
    <w:p>
      <w:r>
        <w:t>A/594/2012 - 15/23 -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consid. 3.2.3).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w:t>
      </w:r>
    </w:p>
    <w:p>
      <w:r>
        <w:t>A/594/2012 - 16/23 -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6</w:t>
      </w:r>
    </w:p>
    <w:p>
      <w:r>
        <w:t>a) En l’espèce, l’OAI estime que le recourant présente une entière capacité de travail dans une activité adaptée à ses limitations fonctionnelles qui ont été mises en exergue postérieurement au mois de juin 2006, avec une diminution de rendement de 20%. Il s’est tout d’abord fondé sur une expertise rhumato-psychiatrique établie en date du 22 octobre 2008 par le Dr T___________ et sur la base de l’examen psychiatrique du Dr C___________. Ces médecins ont retenu les diagnostics suivants : des lombalgies chroniques sur troubles dégénératifs modérés et des cervicalgies chroniques sur discrète instabilité C4 (diagnostics avec répercussion sur la capacité de travail) et un trouble somatofome indifférencié, un trouble mixte anxieux et dépressif, une hernie hiatale ainsi qu’une discrète dyslipidémie (diagnostics sans répercussion sur la capacité de travail). Ils ont conclu que la capacité de travail du recourant était nulle dans l’activité antérieure de maçon, mais entière, avec une diminution de rendement de 20%, dans une activité sédentaire à légère, permettant l’alternance des positions assise et debout et l’exclusion des positions en porte-à-faux. Ce rapport présente pleine valeur probante au sens de la jurisprudence. En effet, il a été établi sur la base d’une anamnèse détaillée, comprenant un volet familial, médical, social et professionnel, sur les plaintes du recourant, sur son dossier médical, les documents radiologiques ainsi que sur des examens cliniques rhumatologiques et psychiatriques des 5 et 11 août 2008. Les experts ont clairement exposé leurs constatations cliniques et motivé leurs conclusions. Ils expliquent, de manière limpide, les raisons pour lesquelles ils retiennent chacun des diagnostics et les limitations somatiques que certains d’entre eux engendrent. En outre, on comprend que l’atteinte à la santé psychique n’est pas suffisamment grave pour avoir une incidence sur la capacité de travail. Enfin, il est également compréhensible, que même si la capacité de travail est de 100% dans une activité adaptée aux limitations fonctionnelles (activité sédentaire et légère, permettant une alternance des positions et l’exclusion de positions en porte-à-faux), une diminution de rendement de 20% doit être retenue eu égard aux contractures musculaires cervicales susceptibles d’être maintenues par l’instabilité vertébrale. Pour le surplus, aucun indice concret ne permet de douter du bien-fondé des conclusions de l’expertise, étant précisé notamment que les conclusions ont été établies lors d’une conférence en consensus ayant réuni les médecins qui ont examiné le recourant. La Cour de céans relève que certes les experts n’ont pas déterminé à partir de quelle date le recourant présentait une capacité de travail entière dans une activité adaptée</w:t>
      </w:r>
    </w:p>
    <w:p>
      <w:r>
        <w:t>A/594/2012 - 17/23 - aux limitations somatiques, toutefois, on comprend que cette capacité de travail existe, d’après eux, dès l’apparition en juin 2006 des troubles cervio-dorso- lombaires, lesquels n’ont jamais empêché le recourant de travailler dans une activité adaptée. b) Le recourant, s’il ne conteste pas la valeur probante du rapport d’expertise, estime que ce rapport est obsolète. Il invoque que l’OAI aurait dû instruire d’avantage la question de ses troubles psychiques au vu des rapports du Dr Q___________. Ce médecin a déterminé, dans ses rapports des 1er octobre 2007 et 10 mai 2010, que le recourant souffrait d’un trouble anxieux et dépressif, tel que retenu par les experts, sans toutefois estimer que ce trouble avait une incidence sur la capacité de travail. En revanche, il se demandait, en date du 13 juillet 2011, si ce trouble n’était pas devenu un état dépressif d’intensité légère à moyenne ces derniers mois et a indiqué que l’incapacité de travail de 50% retenue dans son rapport de 2010 était justifiée, notamment par les pathologies somatiques. Au vu de ces éléments, il sera constaté d’une part, que le Dr Q___________ n’est pas affirmatif quant au diagnostic à retenir en 2011 et émet uniquement une hypothèse et d’autre part, qu’il fonde l’incapacité de travail sur des troubles somatiques. Dès lors, ces éléments ne permettent manifestement pas de mettre en évidence une aggravation de l’état de santé psychique du recourant postérieurement au rapport d’expertise. Quant au volet somatique, le recourant soutient que son état de santé s’est aggravé en raison d’une atteinte à l’épaule droite, qui a nécessité des infiltrations, et qu’il allait devoir subir une intervention chirurgicale ; toutefois, il n’a produit aucun rapport de médecin portant sur cette atteinte. Partant, dans la mesure où le recourant, représenté par un conseil, n’a jamais indiqué de quelle atteinte il souffrait et qu’il n’a produit de documents médicaux attestant de son atteinte ni sur requête expresse de l’OAI ni dans le cadre de la procédure de recours, on ne saurait, sur la seule base d’une allégation du recourant, reprocher à l’OAI de ne pas avoir procédé à une instruction complémentaire ou mettre en œuvre une telle instruction, ce d’autant moins que l’assuré, qui fait valoir son droit à des prestations, doit fournir tous les renseignements nécessaires pour établir ce droit (art. 28 al. 2 LPGA). Les arguments du recourant ne peuvent dès lors être que rejetés. c) En outre, les Drs P___________ et S___________ et les médecins du Centre multidisciplinaire d’étude et de traitement de la douleur des HUG confirment les conclusions du rapport d’expertise. En effet, le Dr P___________ conclut, en date du 2 février 2007, que le recourant est en mesure de travailler dans une activité plus légère sans port de charges. De plus, la Dresse S___________ et les médecins du Centre suscité mettent en exergue, dans leurs rapports des 21 novembre 2007 et 12 septembre 2008, que le recourant présente des cervico-dorso-lombalgies chroniques sans atteintes extra-articulaires et qu’il souffre de douleurs chroniques</w:t>
      </w:r>
    </w:p>
    <w:p>
      <w:r>
        <w:t>A/594/2012 - 18/23 - très diffuses ou d’un syndrome douloureux chronique, ce qui vient appuyer le diagnostic de trouble somatoforme indifférencié retenu par les experts. Quant aux rapports de la Dresse O___________, laquelle est le médecin traitant du recourant, lequel est généralement enclin, d’après la jurisprudence, à prendre parti pour son patient en raison de la relation de confiance qui l’unit à ce dernier, ils ne sauraient remettre en cause le rapport d’expertise, au motif qu’ils ne sont pas suffisamment détaillés et motivés. Qui plus est, les conclusions de l’expertise rhumato-psychiatrique sont entièrement confirmées par les différents stages pratiques que le recourant a effectué par le biais des EPI. En effet, il ressort notamment de leurs rapports des 7 décembre 2009 et 4 mars 2010 qu’une activité dans le secteur du conditionnement convient parfaitement au recourant, celle-ci tenant compte tant de ses limitations fonctionnelles somatiques que du fait qu’il ne sait ni lire ni écrire en français, et que sa capacité de travail dans une telle activité est de 100%, avec des rendements variant de 80 à 100%. Certes le recourant a été absent, durant la prolongation de son stage, pendant 37 jours, toutefois, le responsable du recourant chez Z___________ indique, dans le second rapport, qu’il maintient ses précédentes déclarations. Le recourant conteste les conclusions des EPI soutenant, d’une part, que l’activité dans le conditionnement n’est pas adaptée à ses limitations fonctionnelles et d’autre part, qu’il n’a pas pu exercer les autres activités proposées par les EPI. Il est vrai que le recourant a subi un épisode de blocage des cervicales ; toutefois, tant les EPI que l’employeur auprès duquel le recourant a fait son stage estiment que l’activité dans le conditionnement est adaptée, ce que le recourant a d’ailleurs également confirmé à plusieurs reprises, avant de le contester. De plus, le but d’une mesure d’orientation professionnelle est de mettre en évidence les activités susceptibles d’être exercées par le recourant, et non de lui donner la possibilité de toutes les tester. Partant, compte tenu du fait que les experts, appuyés par les réadaptateurs des EPI, estiment que le recourant présente une entière capacité de travail dans une activité adaptée à ses limitations fonctionnelles, avec une diminution de rendement de 20%, on ne saurait s’écarter de cette conclusion. d) Par ailleurs, il sera relevé que le recourant ne réunit pas les critères développés par le Tribunal fédéral pour attribuer au trouble somatoforme indifférencié ou syndrome douloureux chronique un caractère invalidant. En effet, on peut exclure au vu des différents rapports, et notamment du rapport d’expertise, que le recourant souffre d’une comorbidité psychiatrique grave. En outre, s’il peut être considéré qu’il présente des affections corporelles chroniques, sous la forme de troubles cervico-dorso-lombaires, les autres critères ne sont pas remplis, l’état psychique</w:t>
      </w:r>
    </w:p>
    <w:p>
      <w:r>
        <w:t>A/594/2012 - 19/23 - n’étant pas cristallisé, le recourant ne décrivant pas de perte d’intégration sociale et n’ayant pas subi d’échec de traitements ambulatoires ou stationnaires conformes au règles de l’art. e) Au vu de tout ce qui précède, il doit être conclu, au degré de la vraisemblance prépondérante prévu par la jurisprudence, que le recourant était déjà en mesure d’exercer à plein temps une activité adaptée à ses limitations fonctionnelles depuis le mois de juin 2006, avec une diminution de rendement de 20%. Pour le surplus, vu la valeur probante de l’expertise, confirmée par les stages pratiques en entreprise, la Cour de céans considère qu’il n’est pas nécessaire de mettre en œuvre une expertise psychiatrique et orthopédique, comme requis par le recourant.</w:t>
      </w:r>
    </w:p>
    <w:p>
      <w:r>
        <w:rPr>
          <w:b/>
        </w:rPr>
        <w:t>E. 7</w:t>
      </w:r>
    </w:p>
    <w:p>
      <w:r>
        <w:t>a) Il y a encore lieu de se déterminer sur le calcul du degré d’invalidité du recourant. b) En vertu de l’art. 28 al. 1 LAI en vigueur jusqu’au 31 décembre 2007, l’assuré a droit à une rente entière s’il est invalide à 70% au moins, à un trois-quarts de rente s'il est invalide à 60% au moins, à une demi-rente s’il est invalide à 50% au moins, ou à un quart de rente s’il est invalide à 40% au moins. En vertu de l’art. 29 al. 1 LAI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w:t>
      </w:r>
    </w:p>
    <w:p>
      <w:r>
        <w:t>A/594/2012 - 20/23 -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8</w:t>
      </w:r>
    </w:p>
    <w:p>
      <w:r>
        <w:t>En l’espèce, dans la mesure où l’incapacité de travail du recourant remonte à juin 2006 et que le droit à la rente intervient dès lors au plus tôt au mois de juin 2007 (29 al. 1 LAI), il convient de se placer en 2007 pour procéder à la comparaison des revenus. Le revenu sans invalidité doit être déterminé en se fondant sur les déclarations des deux derniers employeurs du recourant, attendu que celui-ci travaillait, avant</w:t>
      </w:r>
    </w:p>
    <w:p>
      <w:r>
        <w:t>A/594/2012 - 21/23 - l’apparition de ses atteintes à la santé, auprès d’un premier employeur durant la semaine et auprès d’un second employeur durant le week-end. Pour l’année 2005, soit la dernière année durant laquelle le recourant a pleinement été actif, le premier employeur a indiqué que son revenu annuel était de 57'035 fr. 55 et le second a produit des décomptes de salaires, desquels il résulte que son revenu 2005 soumis à l’AVS était de 7'563 fr. 75. Toutefois, d’après le compte individuel du recourant, son revenu annuel 2005 est de 70'284 fr., lequel est plus élevé que celui ressortant des déclarations des employeurs (64'599 fr. 30), de sorte que c’est ce revenu qui sera pris en considération, lequel doit être adapté à l’indice suisse des salaires nominaux (ISS ; en 2005 : 1’992 et en 2007 : 2’047). On obtient ainsi un revenu sans invalidité 2007 de 72'224 fr. 60 (70'284 x 2047 / 1992), ce que le recourant ne conteste pas. Pour ce qui est du revenu d’invalide, c’est à juste titre que l’intimé s’est fondé sur les salaires résultant de l’ESS, le recourant n’ayant pas repris d’activité lucrative depuis le mois de juin 2006. Ainsi, d’après les ESS 2006, le revenu mensuel standardisé d’un homme exerçant une activité simple et répétitive (tableau TA1, niveau de qualification 4, ligne totale, homme, part au 13ème salaire comprise) est de 4’732 francs. Ce salaire hypothétique, calculé sur la base d’un horaire hebdomadaire de travail de 40 heures, doit encore être adapté à l’horaire de travail en 2007, lequel est de 41.7 heures (cf. Tableau « durée normale du travail dans les entreprises selon la division économique » de l’Office fédéral de la statistique) et à l’indice suisse des salaires nominaux (ISS ; en 2006 : 2’014 et en 2007 : 2’047). On obtient ainsi un revenu annuel brut de 60'167 fr. 25, soit en tenant compte d’une diminution de rendement de 20%, de 48'133 fr. 80. En outre, l’OAI n’a pas tenu compte d’un abattement, au motif qu’il avait déjà pris en considération les limitations fonctionnelles et l’activité légère dans le cadre de la baisse de rendement de 20%. La Cour de céans constate que certes la diminution de rendement a été retenue en raison des contractures musculaires cervicales possiblement maintenues par l’instabilité vertébrale (cf. expertise), mais que le recourant présente également des limitations fonctionnelles concrètes lesquelles concernent essentiellement le port de charges, les positions en porte-à faux et la position statique prolongée. En revanche, le fait que le recourant ne maîtrise pas la langue française à l’écrit et le fait qu’il n’a pas de formation ne sont pas, d’après la jurisprudence, des critères dont il y a lieu de tenir compte dans le cadre de l’abattement. Partant, il sera considéré, contrairement à l’OAI, qu’au vu des limitations fonctionnelles suscitées, un abattement de 5% peut être retenu. Dès lors, le degré d’invalidité du recourant est de 37 % ((72'224.6 - 48'133.8 - 5% x 48'133.8) x 100 / 72'224.6), taux n’ouvrant toutefois pas de droit à une rente.</w:t>
      </w:r>
    </w:p>
    <w:p>
      <w:r>
        <w:rPr>
          <w:b/>
        </w:rPr>
        <w:t>E. 9</w:t>
      </w:r>
    </w:p>
    <w:p>
      <w:r>
        <w:t>Pour le surplus, la décision de l’OAI du 17 janvier 2012 ne portant pas sur des mesures d’ordre professionnel et le recourant n’en sollicitant pas, il n’y a pas lieu</w:t>
      </w:r>
    </w:p>
    <w:p>
      <w:r>
        <w:t>A/594/2012 - 22/23 - de se prononcer sur cette question. Cependant, si le recourant estime que de telles mesures sont nécessaires à l’avenir, il devra le faire valoir directement auprès de l’OAI. Le recourant reste, au demeurant, libre de déposer une nouvelle demande de prestations, si son état de santé subit une aggravation notable et s’il peut rendre plausible que son invalidité s’est modifiée de manière à influencer ses droits (art. 87 al. 3 et 4 RAI).</w:t>
      </w:r>
    </w:p>
    <w:p>
      <w:r>
        <w:rPr>
          <w:b/>
        </w:rPr>
        <w:t>E. 10</w:t>
      </w:r>
    </w:p>
    <w:p>
      <w:r>
        <w:t>Compte tenu de tout ce qui précède, le recours, mal fondé, doit être entièrement rejeté.</w:t>
      </w:r>
    </w:p>
    <w:p>
      <w:r>
        <w:rPr>
          <w:b/>
        </w:rPr>
        <w:t>E. 11</w:t>
      </w:r>
    </w:p>
    <w:p>
      <w:r>
        <w:t>La procédure de recours en matière de contestation portant sur l’octroi ou le refus de prestations de l’AI devant le tribunal cantonal des assurances sociales étant soumise à des frais de justice (art. 69 al. 1bis LAI), il y a lieu de condamner le recourant au paiement d'un émolument de 200 francs.</w:t>
      </w:r>
    </w:p>
    <w:p>
      <w:r>
        <w:t>A/594/2012 - 23/23 -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