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ATAS/763/2024 vom 8. Oktober 2024</w:t>
      </w:r>
    </w:p>
    <w:p>
      <w:r>
        <w:t>GE Cour de justice, 2024-10-08, FR</w:t>
      </w:r>
    </w:p>
    <w:p>
      <w:r>
        <w:rPr>
          <w:b/>
        </w:rPr>
        <w:t xml:space="preserve">Quelle: </w:t>
      </w:r>
      <w:r>
        <w:t>https://mcp.opencaselaw.ch/entscheid/ge_gerichte_ATAS_763_2024</w:t>
      </w:r>
    </w:p>
    <w:p>
      <w:r>
        <w:t>FR: GE_GERICHTE ATAS/763/2024 du 8 octobre 2024</w:t>
      </w:r>
    </w:p>
    <w:p>
      <w:r>
        <w:t>IT: GE_GERICHTE ATAS/763/2024 del 8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S’agissant de l’objet du litige, l’assuré allègue, dans son acte de recours, avoir subi des accidents de travail le 20 décembre 2020, puis le 15 novembre 2022 et enfin le 20 janvier 2023, tous pris en charge par la SUVA. D’après lui,</w:t>
      </w:r>
    </w:p>
    <w:p>
      <w:r>
        <w:t>A/3628/2023 - 10/35 - « il convient tout d’abord de noter l’erreur manifeste selon laquelle il n’existe aucun enregistrement d’un accident le 20 décembre 2022, comme prétendu par la SUVA. D’autre part, les deux derniers accidents réels, survenus successivement le 15 novembre 2022 et le 20 janvier 2023, doivent être liés, car ils ont tous les deux entraîné des lésions au genou avec seulement deux mois d’écart. La Cour doit prendre en considération que l’accident mentionné par la SUVA en page 3, paragraphe 1, n’a jamais eu lieu le 20 décembre 2022. Par conséquent, nous demandons à la Cour de rejeter sa décision sur opposition. [À la ligne] Nous consentons à accorder une suite exceptionnelle si la Cour ne devait pas rejeter la décision, en raison de l’erreur concernant la date de l’accident inexistante que la SUVA a prétendu avoir pris en charge le 20 décembre 2022 » (p. 19). Cela étant, c’est de manière manifestement erronée qu’à teneur du ch. 1 en droit de la décision sur opposition attaquée, « le litige porte sur la question de savoir si la SUVA était fondée à mettre fin aux prestations au 31 juillet 2023 pour les seules suites de l’accident du 20 décembre 2022 ». En effet, comme le fait valoir le recourant, aucun événement accidentel qui serait survenu ledit 20 décembre 2022 ne ressort du dossier. L’intimée a ainsi sans doute possible commis une inadvertance. Tout, y compris le reste de la décision sur opposition, montre qu’elle voulait bien plutôt inscrire la date du 20 janvier 2023. Le présent litige porte ainsi sur la question de savoir si l'intimée est en droit ou non de refuser la prise en charge, par les indemnités journalières et les frais de traitement, des suites de l’accident du 20 janvier 2023 au-delà du 31 juillet 2024. Il est par ailleurs précisé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 ici au 12 octobre 2023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droit d'être entendu garanti par l'art. 29 al. 2 de la Constitution fédérale de la Confédération suisse du 18 avril 1999 (Cst. - RS 101)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143 V 71 consid. 4.1). Ce droit comprend ainsi le droit pour les parties de participer à la</w:t>
      </w:r>
    </w:p>
    <w:p>
      <w:r>
        <w:t>A/3628/2023 - 11/35 -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 Le droit d'être entendu (art. 29 al. 2 Cst.) est une garantie constitutionnelle de caractère formel, dont la violation entraîne en principe l'annulation de la décision attaquée, indépendamment des chances de succès du recours sur le fond (ATF 144 I 11 consid. 5.3 et la référence). Selon la jurisprudence,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145 I 167 consid. 4.4 ; 142 II 218 consid. 2.8.1 et les références ; arrêts du Tribunal fédéral 8C_21/2024 du 24 juin 2024 consid. 3.2.2 ; 9C_776/2020 du</w:t>
      </w:r>
    </w:p>
    <w:p>
      <w:r>
        <w:rPr>
          <w:b/>
        </w:rPr>
        <w:t>E. 7</w:t>
      </w:r>
    </w:p>
    <w:p>
      <w:r>
        <w:t>Concernant ensuite l’examen d’un rapport de causalité entre l’accident en cause et les troubles psychiques – du recourant, il convient de rappeler les principes de droit qui suivent.</w:t>
      </w:r>
    </w:p>
    <w:p>
      <w:r>
        <w:rPr>
          <w:b/>
        </w:rPr>
        <w:t>E. 7.1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t>A/3628/2023 - 29/35 -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7.2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w:t>
      </w:r>
    </w:p>
    <w:p>
      <w:r>
        <w:rPr>
          <w:b/>
        </w:rPr>
        <w:t>E. 7.2.1</w:t>
      </w:r>
    </w:p>
    <w:p>
      <w:r>
        <w:t>Selon la jurisprudence,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w:t>
      </w:r>
    </w:p>
    <w:p>
      <w:r>
        <w:t>A/3628/2023 - 30/35 -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(ATF 115 V 403 consid. 5a).</w:t>
      </w:r>
    </w:p>
    <w:p>
      <w:r>
        <w:rPr>
          <w:b/>
        </w:rPr>
        <w:t>E. 7.2.2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w:t>
      </w:r>
    </w:p>
    <w:p>
      <w:r>
        <w:rPr>
          <w:b/>
        </w:rPr>
        <w:t>E. 7.2.3</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w:t>
      </w:r>
    </w:p>
    <w:p>
      <w:r>
        <w:t>A/3628/2023 - 31/35 - - le degré et la durée de l’incapacité de travail due aux lésions physiques. Tous ces critères ne doivent pas être réunis pour que la causalité adéquate soit admise. De manière générale, lorsqu'il s'agit d'un accident de gravité moyenne (stricto sensu),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7.3</w:t>
      </w:r>
    </w:p>
    <w:p>
      <w:r>
        <w:t>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9C_571/2023 du 11 janvier 2024 consid. 6.2 et la référence ; 9C_480/2021 du 8 novembre 2022 consid. 5.3.2 et les références).</w:t>
      </w:r>
    </w:p>
    <w:p>
      <w:r>
        <w:rPr>
          <w:b/>
        </w:rPr>
        <w:t>E. 8.1</w:t>
      </w:r>
    </w:p>
    <w:p>
      <w:r>
        <w:t>Dans le cas présent, au plan psychique, le recourant allègue qu’à la suite de l’accident du 20 janvier 2023, il a rencontré des complications, notamment des troubles du sommeil et de l’angoisse, dès sa consultation initiale avec son médecin généraliste traitant le Dr M______, qui lui a prescrit le 2 février 2023 des médicaments à base de plantes pour soulager son anxiété avec le Relaxane et ses troubles de l’humeur et du sommeil avec le Rebalance 250 mg ainsi que le 22 mars 2023 l’antidépresseur Cymbalta 30 mg –. D’après l’assuré, sa situation psychique a commencé à se détériorer à partir de février 2023 (acte de recours, p. 10). La Dre L______, spécialiste FMH en psychiatrie et psychothérapie, lui a quant à elle prescrit, entre avril et mai 2023, du Zolpidem contre les troubles du sommeil,</w:t>
      </w:r>
    </w:p>
    <w:p>
      <w:r>
        <w:t>A/3628/2023 - 32/35 - de l’Atarax 25 mg et du Temesta 1 mg contre l’anxiété ainsi que de l’Escitalopram 20 mg contre la dépression, et a continué à le suivre au plan psychique jusqu’en septembre 2023. Toutefois, selon les allégations du recourant, en raison des coûts des honoraires médicaux, il a dû s’adresser à un psychiatre en France (acte de recours, p. 16 et 17). En outre, dans un « rapport médical intermédiaire » à l’intention de la SUVA complété le 16 mai 2023, ladite psychiatre traitante pose les diagnostics d’« état de stress post-traumatique » (F43.1 selon la CIM-10) et de trouble panique (anxiété épisodique paroxystique ; F41.0), faisant état d’un pronostic défavorable, mentionnant les médicaments prescrits et proposant une thérapie EDMR (NDR : avec les mouvements des yeux) dès que possible. Par certificat du 18 juillet 2023, la Dre L______ atteste une capacité de travail nulle depuis le 1er juillet 2023 et pour une durée indéterminée pour cause d’accident. Le même jour, elle fait état d’un suivi de l’intéressé en sa consultation à partir du 28 mars 2023 pour un état de stress post-traumatique et du caractère judicieux « dans le cas de son accident » de la thérapie cognitivo-comportementale commencée depuis lors à son cabinet, et recommande fortement « qu’il continue son suivi le temps nécessaire, afin d’assurer son rétablissement », « un arrêt brutal de sa thérapie [pouvant] engendrer des conséquences à court et long terme, dans son état de santé psychique ». Le Dr P______, nouveau psychiatre traitant (en France voisine), a, les 3 octobre et</w:t>
      </w:r>
    </w:p>
    <w:p>
      <w:r>
        <w:rPr>
          <w:b/>
        </w:rPr>
        <w:t>E. 8.2</w:t>
      </w:r>
    </w:p>
    <w:p>
      <w:r>
        <w:t>Dans la pratique développée par la jurisprudence, les chutes d'une hauteur comprise entre deux et quatre mètres dans le vide sont encore qualifiées d'accidents de gravité moyenne au sens strict, la hauteur de la chute se mesurant à la distance entre les pieds de la personne assurée ou la surface qui la supporte et le sol sur lequel elle tombe. Est en revanche qualifiée d'accident grave la chute d'une échelle d'une hauteur de quatre à cinq mètres sur le trottoir (cf. arrêt du Tribunal fédéral 8C_427/2022 du 28 février 2023 consid. 6.2.3, et les arrêts cités). L’intéressé étant tombé le 20 janvier 2023 depuis seulement une position les pieds à hauteur du sol mais sur du verglas et avec, à la réception au sol, un choc relativement important sur plusieurs parties du corps, dont la tête, c’est de manière conforme au droit que la caisse ne classe pas l’événement du 20 janvier 2023 dans</w:t>
      </w:r>
    </w:p>
    <w:p>
      <w:r>
        <w:t>A/3628/2023 - 33/35 - la catégorie des accidents graves, mais plutôt dans celle des accidents de gravité moyenne.</w:t>
      </w:r>
    </w:p>
    <w:p>
      <w:r>
        <w:rPr>
          <w:b/>
        </w:rPr>
        <w:t>E. 8.3</w:t>
      </w:r>
    </w:p>
    <w:p>
      <w:r>
        <w:t>En application de la pratique sur les conséquences psychiques des accidents (ATF 115 V 133), l’examen des critères énoncés par le Tribunal fédéral – à tout le moins en cas d’accident de gravité moyenne –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Le Tribunal fédéral a en outre rappelé que l'examen de la causalité adéquate à la lumière de la pratique de l'ATF 115 V 133 et 403 doit se faire au moment où il n'y a plus lieu d'attendre de la continuation du traitement médical une sensible amélioration de l'état de l'assuré. Cela signifie également que l'assureur-accidents doit être au clair s'agissant des troubles somatiques. Ces principes valaient en particulier pour l'examen de la causalité adéquate des troubles psychiques avec l'accident, notamment lorsque le critère de la durée et du degré de l'incapacité de travail pour les troubles physiques doit être examiné, ce qui suppose que l'assureur-accidents se fonde sur une documentation médicale probante et complète pour les atteintes accidentelles somatiques (arrêts du Tribunal fédéral 8C_235/2020 du</w:t>
      </w:r>
    </w:p>
    <w:p>
      <w:r>
        <w:rPr>
          <w:b/>
        </w:rPr>
        <w:t>E. 8.4</w:t>
      </w:r>
    </w:p>
    <w:p>
      <w:r>
        <w:t>Or, en l’espèce, au plan somatique, il n’est en l’état pas établi que le statu quo aurait été atteint, que ce soit le 31 juillet 2023 ou ultérieurement, ni a fortiori, dans l’hypothèse d’une éventuelle absence de statu quo, que l’état de santé de l’assuré serait stabilisé – stabilisation qui signifierait qu’il n’y a plus lieu d’attendre de la continuation du traitement médical une sensible amélioration de son état (cf. art. 19 al. 1 LAA). La réponse à ces questions dépend des résultats de l’instruction complémentaire au plan somatique concernant le genou droit aux fins de laquelle la cause est renvoyée à l’intimée par le présent arrêt (cf. plus haut). Ces résultats seront indispensables pour se prononcer sur la réalisation ou non des critères développés par la jurisprudence pour les troubles psychiques en cas d’accident de gravité moyenne (cf. jurisprudence citée plus haut), à tout le moins à partir du troisième critère.</w:t>
      </w:r>
    </w:p>
    <w:p>
      <w:r>
        <w:t>A/3628/2023 - 34/35 - Partant, en l’absence de clôture du cas selon l'art. 19 al. 1 LAA, l’examen de la causalité adéquate entre l’accident du 20 janvier 2023 et les troubles psychiques est prématuré.</w:t>
      </w:r>
    </w:p>
    <w:p>
      <w:r>
        <w:rPr>
          <w:b/>
        </w:rPr>
        <w:t>E. 8.5</w:t>
      </w:r>
    </w:p>
    <w:p>
      <w:r>
        <w:t>La cause doit en conséquence, au plan psychique également, être renvoyée à l’intimée pour qu’elle tranche la question de la causalité adéquate lorsque l’état d’avancement du cas au plan somatique le permettra. Dans le cadre de cette nouvelle instruction au plan psychique, à tout le moins en cas d’examen de la causalité naturelle, les diagnostics des troubles psychiques du recourant ainsi que l’évolution de ceux-ci devront être clarifiés, y compris concernant la question d’un éventuel état de stress post-traumatique (F43.1), diagnostic qui a été posé par la Dre L______ mais dont on ignore jusqu’à quand il pourrait être retenu et avec quelle évolution. 9. Vu ce qui précède, le recours sera partiellement admis, la décision sur opposition querellée sera annulée et la cause sera renvoyée à l’intimée pour instruction complémentaire au plan somatique et nouvelle instruction au plan psychique, puis nouvelle décision, au sens des considérants. 10. Étant donné que le recourant obtient partiellement gain de cause mais dans la mesure où son avocat n’a pas présenté d’écriture circonstanciée au fond, une indemnité, réduite, de CHF 500.- lui sera accordée à titre de participation à ses frais et dépens, à charge de l’intimée (art. 61 let. g LPA ; art. 89H al. 3 LPA ; art. 6 du règlement sur les frais, émoluments et indemnités en procédure administrative du 30 juillet 1986 - RFPA - E 5.10.03). La procédure est gratuite (art. 89H al. 1 LPA et vu l'art. 61 let. fbis LPGA).</w:t>
      </w:r>
    </w:p>
    <w:p>
      <w:r>
        <w:t>A/3628/2023 - 35/35 - PAR CES MOTIFS, LA CHAMBRE DES ASSURANCES SOCIALES : Statuant À la forme :</w:t>
      </w:r>
    </w:p>
    <w:p>
      <w:r>
        <w:rPr>
          <w:b/>
        </w:rPr>
        <w:t>E. 12</w:t>
      </w:r>
    </w:p>
    <w:p>
      <w:r>
        <w:t>décembre 2023 ainsi que 15 février 2024, sous « prescriptions relatives au traitement de l’affection de longue durée reconnue (liste ou hors liste) (affection exonérante) », prescrit entre autres l’antipsychotique Loxapine 25 mg et 100 mg, le neuroleptique Olanzapine 10 mg, l’anxiolytique Alprazolam (équivalent du Xanax) 0,5 mg et l’antidépresseur Clompipramine chlorhydrate (Anafranil) 75 mg (ordonnances produites après le prononcé de la décision sur opposition attaquée). En parallèle, le 4 (recte : 3) octobre 2023, ce nouveau psychiatre traitant atteste suivre l’intéressé pour une prise en charge psychothérapeutique et indique que l’état psychologique de celui-ci ne lui permet pas d’occuper un emploi car il est temporairement inapte à toutes fonctions.</w:t>
      </w:r>
    </w:p>
    <w:p>
      <w:r>
        <w:rPr>
          <w:b/>
        </w:rPr>
        <w:t>E. 15</w:t>
      </w:r>
    </w:p>
    <w:p>
      <w:r>
        <w:t>février 2021 consid. 2.3 et les références ; 8C_210/2018 du 17 juillet 2018 consid. 3.2.3.1, publié in SVR 2019 UV n° 4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