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ATAS/763/2018 vom 3. September 2018</w:t>
      </w:r>
    </w:p>
    <w:p>
      <w:r>
        <w:t>GE Cour de justice, 2018-09-03, FR</w:t>
      </w:r>
    </w:p>
    <w:p>
      <w:r>
        <w:rPr>
          <w:b/>
        </w:rPr>
        <w:t xml:space="preserve">Quelle: </w:t>
      </w:r>
      <w:r>
        <w:t>https://mcp.opencaselaw.ch/entscheid/ge_gerichte_ATAS_763_2018</w:t>
      </w:r>
    </w:p>
    <w:p>
      <w:r>
        <w:t>FR: GE_GERICHTE ATAS/763/2018 du 3 septembre 2018</w:t>
      </w:r>
    </w:p>
    <w:p>
      <w:r>
        <w:t>IT: GE_GERICHTE ATAS/763/2018 del 3 settembre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w:t>
      </w:r>
    </w:p>
    <w:p>
      <w:r>
        <w:t>A/473/2018 - 13/18 -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force le 1er janvier 2003, est applicable à la présente procédure.</w:t>
      </w:r>
    </w:p>
    <w:p>
      <w:r>
        <w:rPr>
          <w:b/>
        </w:rPr>
        <w:t>E. 3</w:t>
      </w:r>
    </w:p>
    <w:p>
      <w:r>
        <w:t>Le recours, déposé dans les délai et forme prévus par la loi, est recevable (art. 56ss LPGA).</w:t>
      </w:r>
    </w:p>
    <w:p>
      <w:r>
        <w:rPr>
          <w:b/>
        </w:rPr>
        <w:t>E. 4</w:t>
      </w:r>
    </w:p>
    <w:p>
      <w:r>
        <w:t>Le litige, tel que circonscrit par la décision litigieuse, porte sur le point de savoir si c’est à juste titre que l’intimée a mis un terme au versement des indemnités journalières et a nié le droit du recourant à une rente d’invalidité dès le 1er décembre 2017.</w:t>
      </w:r>
    </w:p>
    <w:p>
      <w:r>
        <w:rPr>
          <w:b/>
        </w:rPr>
        <w:t>E. 5</w:t>
      </w:r>
    </w:p>
    <w:p>
      <w:r>
        <w:t>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 au moins à la suite d’un accident (art. 18 al. 1 LAA), ainsi qu’une indemnité pour atteinte à l'intégrité si l’assuré souffre par suite de l’accident d'une atteinte importante et durable à son intégrité physique, mentale ou psychique (art. 24 al. 1 LAA). Le droit à des prestations de l'assurance-accidents suppose un rapport de causalité naturelle et adéquate entre l'accident et le dommage (arrêt du Tribunal fédéral 8C_867/2014 du 28 décembre 2015 consid. 4.2).</w:t>
      </w:r>
    </w:p>
    <w:p>
      <w:r>
        <w:rPr>
          <w:b/>
        </w:rPr>
        <w:t>E. 6</w:t>
      </w:r>
    </w:p>
    <w:p>
      <w:r>
        <w:t>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 teneur de l’art. 19 al. 1 LAA, le droit à la rente prend naissance dès qu’il n’y a plus lieu d’attendre de la continuation du traitement médical une sensible</w:t>
      </w:r>
    </w:p>
    <w:p>
      <w:r>
        <w:t>A/473/2018 - 14/18 -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w:t>
      </w:r>
    </w:p>
    <w:p>
      <w:r>
        <w:rPr>
          <w:b/>
        </w:rPr>
        <w:t>E. 7</w:t>
      </w:r>
    </w:p>
    <w:p>
      <w:r>
        <w:t>a) Pour trancher le droit aux prestations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w:t>
      </w:r>
    </w:p>
    <w:p>
      <w:r>
        <w:t>A/473/2018 - 15/18 -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8</w:t>
      </w:r>
    </w:p>
    <w:p>
      <w:r>
        <w:t>Dans un récent arrêt de principe, le Tribunal fédéral a établi des exigences accrues en matière de participation des assurés lorsqu’une assurance sociale diligente une expertise, eu égard à leur droit d’être entendus. Ces exigences comprennent le droit de se prononcer sur le choix de l'expert, de connaître les questions qui lui seront posées, et d'en formuler d'autres (ATF 137 V 210 consid. 3.2.4.6 et 3.2.4.9). Ces exigences ressortent également des art. 57 ss de la loi sur la procédure civile fédérale (PCF – RS 273), applicables par analogie à la procédure administrative (Marco WEISS, Die Mitwirkungsrechte der Bundeszivilprozessordnung im Sozialversicherungsrecht : aktuelle Entwicklungen in der bundesgerichtlichen Rechtsprechung in AJP 2016 p. 1214). Le fait pour une assurance de ne pas permettre à un assuré d’exercer les prérogatives résultant de son droit d’être entendu, soit en particulier celui de se prononcer sur la nomination de l'expert, sur les questions à poser, ainsi que sur le résultat de l'expertise, relève d’une grave violation de ce droit (arrêt du Tribunal fédéral des assurances U 22/03 du 10 juillet 2003 consid. 4). Ce vice ne peut être réparé lorsque l'expertise constitue l'élément central et prépondérant de l'instruction</w:t>
      </w:r>
    </w:p>
    <w:p>
      <w:r>
        <w:t>A/473/2018 - 16/18 - (RAMA 2000 n° U 369 p. 104 consid. 2b ; arrêt du Tribunal fédéral des assurances U 265/04 du 23 septembre 2005 consid. 2.3).</w:t>
      </w:r>
    </w:p>
    <w:p>
      <w:r>
        <w:rPr>
          <w:b/>
        </w:rPr>
        <w:t>E. 9</w:t>
      </w:r>
    </w:p>
    <w:p>
      <w:r>
        <w:t>En l’espèce, l’intimée a fondé sa décision sur l’expertise du Dr F______, laquelle n’a pas été diligentée dans le respect des exigences rappelées ci-dessus en matière de droit d’être entendu, puisque le recourant n’a pas été invité à se déterminer sur l’expert choisi et les questions qui lui seraient soumises. Conformément à la jurisprudence et à la doctrine citées, ce seul élément suffit à justifier l’annulation de la décision et le renvoi à l’intimée. Par surabondance, il convient de souligner l’expertise du Dr F______ ne satisfait pas entièrement les réquisits jurisprudentiels permettant d’accorder une pleine force probante aux rapports médicaux. Au plan formel, il semble que ce médecin n’ait pas eu accès à l’intégralité du dossier, comme cela ressort des explications du Dr E______. Partant, l’expert orthopédiste n’a pu établir ses conclusions en parfaite connaissance du dossier. Force est en outre de constater qu’il ne s’est pas déterminé sur l’échec de la reprise professionnelle, alors qu’il s’agit d’un aspect essentiel de l’évaluation de la capacité de gain, en particulier eu égard au fait qu’aucun défaut de collaboration n’a été reproché au recourant dont la motivation et les efforts ont été soulignés par plusieurs intervenants. Le rapport de l’expert est en outre émaillé de formulations hypothétiques, lesquelles ne permettent pas d’admettre le caractère probant des conclusions qu’elles fondent. Le Dr F______ a ainsi évoqué la possible existence de discopathies, qui pourraient expliquer les douleurs du recourant, apparemment sans être en mesure de la vérifier. Compte tenu de l’incidence capitale de cet élément dans l’appréciation de la capacité de gain du recourant, on ne peut se satisfaire d’une simple hypothèse, qui paraît du reste en contradiction avec le fait que ces pathologies figurent dans les diagnostics retenus par l’expert. Le fait que l’assurance-accidents ne réponde en règle générale pas de discopathies d’origine dégénérative, faute de lien de causalité naturelle avec l’événement assuré, ne permet pas à un expert d’éluder l’analyse des répercussions de telles pathologies, fût-ce au titre de facteurs étrangers à l’accident. Le Dr F______ a en outre retenu « très vraisemblablement » une capacité de travail « de l’ordre de deux tiers », en précisant que l’activité d’informaticien était « a priori » compatible avec les limitations fonctionnelles. Ainsi formulées, les conclusions du Dr F______ ne sont pas suffisamment précises pour retenir que la capacité de travail du recourant dans une activité adaptée est établie au degré de la vraisemblance prépondérante. Elles ne sont par ailleurs guère motivées. De plus, le rapport du Dr E______ et les critiques qu’il émet à l’encontre de l’expertise du Dr F______ suscitent également des doutes suffisants pour nier sa valeur probante. Il convient toutefois de préciser dans ce cadre que contrairement à ce que le Dr E______ a affirmé, la date du bilan des capacités fonctionnelles mentionnée par l’expert est correcte.</w:t>
      </w:r>
    </w:p>
    <w:p>
      <w:r>
        <w:t>A/473/2018 - 17/18 - Enfin, contrairement à ce que l’intimée allègue, il paraît essentiel, au vu de la nature particulière de la lésion du recourant et des circonstances, que l’expert appelé à trancher la question de sa capacité de gain soit un spécialiste de la mécanique de la colonne vertébrale. Au demeurant, il paraît incertain au vu des propositions thérapeutiques émanant tant de l’expert que du Dr D______ que l’état de l’assuré soit stabilisé dans une mesure permettant de mettre un terme au versement des indemnités journalières et de calculer le degré d’invalidité du recourant – ce que l’intimée semble du reste admettre, à tout le moins partiellement. Il appartiendra à l’expert qui sera désigné de se prononcer également sur ce point.</w:t>
      </w:r>
    </w:p>
    <w:p>
      <w:r>
        <w:rPr>
          <w:b/>
        </w:rPr>
        <w:t>E. 10</w:t>
      </w:r>
    </w:p>
    <w:p>
      <w:r>
        <w:t>Au vu des éléments qui précèdent, le recours doit être partiellement admis et la cause renvoyée à l’intimée pour mise en œuvre d’une nouvelle expertise conformément aux exigences jurisprudentielles et nouvelle décision. Le recourant a droit à des dépens, qui seront fixés à CHF 2'500.- (art. 61 let. g LPGA). Pour le surplus, la procédure est gratuite (art. 61 let. a LPGA).</w:t>
      </w:r>
    </w:p>
    <w:p>
      <w:r>
        <w:t>A/473/2018 - 18/18 -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