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ATAS/763/2015 vom 6. Oktober 2015</w:t>
      </w:r>
    </w:p>
    <w:p>
      <w:r>
        <w:t>GE Cour de justice, 2015-10-06, FR</w:t>
      </w:r>
    </w:p>
    <w:p>
      <w:r>
        <w:rPr>
          <w:b/>
        </w:rPr>
        <w:t xml:space="preserve">Quelle: </w:t>
      </w:r>
      <w:r>
        <w:t>https://mcp.opencaselaw.ch/entscheid/ge_gerichte_ATAS_763_2015</w:t>
      </w:r>
    </w:p>
    <w:p>
      <w:r>
        <w:t>FR: GE_GERICHTE ATAS/763/2015 du 6 octobre 2015</w:t>
      </w:r>
    </w:p>
    <w:p>
      <w:r>
        <w:t>IT: GE_GERICHTE ATAS/763/2015 del 6 ottobre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du 17 octobre 2014 est postérieure à l'entrée en vigueur des modifications de la LAI suscitées. Par conséquent, le droit éventuel aux prestations doit être examiné au regard des dispositions de la LPGA et des dispositions de la LAI consécutives aux révisions précitées, dans la mesure de leur pertinence (ATF 130 V 445 et les références; voir également ATF 130 V 329). Cela étant, ces novelles n'ont pas amené de modifications substantielles en matière</w:t>
      </w:r>
    </w:p>
    <w:p>
      <w:r>
        <w:t>A/3545/2014 - 14/26 - d'évaluation de l'invalidité (arrêt du Tribunal fédéral des assurances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du 20 novembre 2014, contre la décision du 17 octobre 2014, adressée par pli postal et vraisemblablement reçue le 21 octobre 2014 par la recourante (timbre sur la décision), est recevable, en vertu des art. 56ss LPGA.</w:t>
      </w:r>
    </w:p>
    <w:p>
      <w:r>
        <w:rPr>
          <w:b/>
        </w:rPr>
        <w:t>E. 4</w:t>
      </w:r>
    </w:p>
    <w:p>
      <w:r>
        <w:t>Le litige porte sur le droit de la recourante à une rente d'invalidité et à une mesure d'ordre professionnel sous forme de reclassement, singulièrement sur sa capacité de travail et son degré d'invalidité.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A/3545/2014 - 15/26 -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A/3545/2014 - 16/26 -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rPr>
          <w:b/>
        </w:rPr>
        <w:t>E. 9</w:t>
      </w:r>
    </w:p>
    <w:p>
      <w:r>
        <w:t>En l'espèce, il n'est pas contesté que la recourante présente une capacité de travail nulle, tant dans son emploi précédent d'éducatrice pour la petite enfance que dans sa dernière activité de polisseuse en horlogerie, et ce depuis le 10 février 2011. Seule demeure litigieuse l'évaluation de sa capacité de travail dans une activité adaptée à ses limitations fonctionnelles. En effet, dans la décision attaquée, l'intimé a retenu que la recourante disposait d'une capacité de travail de 100% dans une activité adaptée, soit toutes activités sérielles légères, dès le 30 juin 2011, sur la base de l'avis du SMR du 1er juillet 2014, se fondant essentiellement sur les conclusions de l'expertise pluridisciplinaire rendue le 18 mars 2014. La recourante considère, pour sa part, posséder une capacité de travail résiduelle nulle dans toutes les activités, au vu de ses nombreuses et importantes limitations fonctionnelles, en se basant principalement sur les avis des Drs J______, F______</w:t>
      </w:r>
    </w:p>
    <w:p>
      <w:r>
        <w:t>A/3545/2014 - 17/26 - et P______. A tout le moins, si l'exercice d'une activité adaptée devait être exigée de sa part, elle estime avoir le droit à des mesures de reclassement.</w:t>
      </w:r>
    </w:p>
    <w:p>
      <w:r>
        <w:rPr>
          <w:b/>
        </w:rPr>
        <w:t>E. 10</w:t>
      </w:r>
    </w:p>
    <w:p>
      <w:r>
        <w:t>kg et autorisant des changements relativement fréquents de position, et pronostiquait une capacité de travail totale, dans une telle activité, dans les mois à venir. c. Toutefois, s'agissant de la date à partir de laquelle une telle capacité de travail peut être retenue, les conclusions du SMR ne sauraient être suivies. En effet, le SMR retient une capacité de travail totale de la recourante dans une activité adaptée, dès le 30 juin 2011, date de l'examen du Dr H______ retenant une origine maladive, et non plus accidentelle, des atteintes de la recourante. Or, le Dr H______ a clairement indiqué, à la date de cet examen, retenir une capacité de travail de 50% dans une activité adaptée, et de 100% dans les mois à venir. On ne saurait ainsi considérer, sur cette base, que la capacité de travail de la recourante était déjà totale le 30 juin 2011. Cependant, dans un rapport du 5 février 2012, le Dr F______ indiquait que, théoriquement, la capacité de travail de la recourante était complète dans un poste</w:t>
      </w:r>
    </w:p>
    <w:p>
      <w:r>
        <w:t>A/3545/2014 - 20/26 - de travail tenant compte de ses limitations fonctionnelles. Par la suite, le Dr F______ recommandait des mesures de reclassement, dans ses rapports des 8 août 2014 et 30 mai 2015, moyennant lesquelles une activité professionnelle adaptée pouvait ainsi être reprise. Cette évaluation de la capacité de travail de la recourante, établie par son médecin traitant, doit par conséquent être prise en compte. Dans ces conditions, on admettra que la recourante dispose d'une pleine capacité de travail dans une activité adaptée depuis le mois de février 2012.</w:t>
      </w:r>
    </w:p>
    <w:p>
      <w:r>
        <w:rPr>
          <w:b/>
        </w:rPr>
        <w:t>E. 11</w:t>
      </w:r>
    </w:p>
    <w:p>
      <w:r>
        <w:t>Il sied dès lors de se prononcer sur le degré d'invalidité de la recourante.</w:t>
      </w:r>
    </w:p>
    <w:p>
      <w:r>
        <w:rPr>
          <w:b/>
        </w:rPr>
        <w:t>E. 12</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Selon les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 Pour fixer le revenu sans invalidité, il faut établir ce que l'assuré aurait, au degré de la vraisemblance prépondérante, réellement pu obtenir au moment déterminant s'il n'était pas invalide (RAMA 2000 n°U 400 p. 381 consid. 2a). Ce revenu doit</w:t>
      </w:r>
    </w:p>
    <w:p>
      <w:r>
        <w:t>A/3545/2014 - 21/26 - être évalué de manière aussi concrète que possible si bien qu’il convient, en règle générale, de se référer au dernier salaire que l’assuré a obtenu avant l’atteinte à sa santé, en tenant compte de l’évolution des salaires (ATF 129 V 222 consid. 4.3.1). 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Selon la jurisprudence, le résultat exact du calcul du degré d’invalidité doit être arrondi au chiffre en pour cent supérieur ou inférieur selon les règles applicables en</w:t>
      </w:r>
    </w:p>
    <w:p>
      <w:r>
        <w:t>A/3545/2014 - 22/26 - mathématiques. En cas de résultat jusqu'à x,49 %, il faut arrondir à x % et pour des valeurs à partir de x,50 %, il faut arrondir à x+1 % (ATF 130 V 121 consid. 3.2).</w:t>
      </w:r>
    </w:p>
    <w:p>
      <w:r>
        <w:rPr>
          <w:b/>
        </w:rPr>
        <w:t>E. 13</w:t>
      </w:r>
    </w:p>
    <w:p>
      <w:r>
        <w:t>a. En l'occurrence, le droit éventuel à la rente est né au plus tôt en février 2012, dès lors que la demande de prestations a été déposée le 26 août 2011 et que le début de l'incapacité de travail durable déterminante, soit une incapacité de travail d'au moins 40% en moyenne depuis une année sans interruption notable, est présente depuis le 10 février 2011. b. Depuis février 2012, comme examiné précédemment, la recourante dispose d'une capacité de travail totale dans une activité adaptée. c. Pour déterminer le degré d'invalidité de la recourante, avec une capacité de travail de 100% dans une activité adaptée, il convient ainsi de se placer en 2012, et non en 2011 comme l'ont considéré les parties. d. S'agissant du revenu sans invalidité, les parties se sont référées, à juste titre, à la dernière activité de la recourante en 2008, soit à un salaire horaire de CHF 29.04 et à un nombre d'heures de travail par semaine de 40, selon les informations de l'employeur contenues au dossier. Il y a donc lieu de retenir que le salaire hebdomadaire de la recourante s'élèvait à CHF 1'161.60 (29.04 x 40). Cependant, en annualisant le salaire de la recourante, les parties ont omis de tenir compte du fait que son salaire horaire comprenait déjà une indemnité vacances de 10.64%, correspondant à un droit aux vacances de 5 semaines (Christiane BRUNNER/Jean- Michel BÜHLER/Jean-Bernard WAEBER/Christian BRUCHEZ, Commentaire du contrat de travail, 3e éd., 2004, p. 413). Il convenait ainsi de multiplier le revenu hebdomadaire par 47 (soit 52 semaines moins 5 semaines de vacances), afin d'obtenir le salaire annuel de la recourante en 2008, étant relevé que le salaire horaire comprenait également la part au 13e salaire. Le revenu annuel de la recourante sans invalidité s'élevait donc à CHF 54'595.20 (29.04 x 40 x 47) en 2008. Adapté selon l'indice suisse des salaires nominaux pour les femmes (ISS en 2008 : 2499 et en 2012 : 2630), son revenu sans invalidité en tant que polisseuse de montre aurait été de CHF 57'457.10 en 2012 (54'595.20 x 2630/2499). e. Concernant le salaire avec invalidité, dans la mesure où la recourante n'a pas repris une activité lucrative, c'est à juste titre que les parties se sont référées aux ESS. Compte tenu de l'activité de substitution raisonnablement exigible de la part de la recourante dans un emploi adapté à son état de santé, le salaire de référence est bien celui auquel peuvent prétendre les femmes effectuant des activités simples et répétitives (niveau de qualification 4) dans le secteur privé, à savoir CHF 50'700.- par année (CHF 4'225.- x 12 ; ESS 2010,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w:t>
      </w:r>
    </w:p>
    <w:p>
      <w:r>
        <w:t>A/3545/2014 - 23/26 - inférieure à la moyenne usuelle dans les entreprises en 2012 (41,7 heures ; Office fédéral de la statistique – statistique de la durée normale du travail dans les entreprises, DNT), ce montant doit être porté à CHF 52'854.75 (50'700 x 41.7 : 40) et à CHF 53'900.-, indexé à 2012 selon l'évolution des salaires en termes nominaux (ISS, en 2010 : 2579 et en 2012 : 2630 ; soit 52'854.75 x 2630/2579). En outre, la prise en compte d'un abattement supplémentaire sur le salaire statistique n'est pas contestée, afin de tenir compte des limitations fonctionnelles de la recourante. L'intimé a tenu compte d'un abattement de 10%, en retenant les limitations fonctionnelles suivantes, à la teneur de l'avis du SMR du 1er juillet 2014 : pas de port de charge régulier de plus de 10 kg, pas d'activité nécessitant un travail en position fixe de la colonne cervicale, pas d'engagement physique lourd, et une activité permettant le changements fréquents de position. La recourante requiert, quant à elle, la prise en compte de l'abattement maximal de 25 %. On admettra, avec l'intimé, que seules les limitations fonctionnelles de la recourante peuvent être prises en compte à cet égard. En effet, l'âge de l'assurée en 2012, à savoir 42 ans, le faible nombre d'année de service auprès de son dernier employeur, de même que le fait qu'elle soit titulaire d'un permis C, ne sont pas des critères de nature à justifier un abattement supplémentaire. Cependant, il convient de relever que la recourante rencontre également des limitations fonctionnelles en raison de son déficit d'ouïe, ce que le SMR ne semble pas avoir pris en considération. En effet, les experts ont expressément recommandé une activité peu exigeante pour l'audition, de préférence en milieu calme, avec peu de communication verbale. Ainsi, au vu des nombreuses limitations fonctionnelles de la recourante et de leur importance, s'agissant d'une assurée rencontrant des difficultés, tant dans sa mobilité que dans ses capacités de communication, la chambre de céans estime qu'un abattement de 15% apparaît plus adéquat dans le cas d'espèce. Le Tribunal fédéral a, par ailleurs, récemment confirmé un tel abattement, s'agissant d'un assuré présentant notamment des limitations fonctionnelles sous forme de travail de type semi-sédentaire, n'impliquant pas le port de charges excessives et permettant de varier les positions, et pour lequel seul l'exercice d'une activité légère restait donc possible (ATF 9C_637/2014 du 6 mai 2015 consid. 5). Dans ces conditions, il se justifie de tenir compte d'un abattement de 15% et, ainsi, d'un revenu avec invalidité de CHF 45'815.-. f. Partant, en procédant à la comparaison des salaires sans invalidité et avec invalidité, le degré d'invalidité de la recourante est 20.26, soit de 20% ([57'457.10 – 45'815] x 100 / 57'457.10), taux qui ne donne pas droit à une rente.</w:t>
      </w:r>
    </w:p>
    <w:p>
      <w:r>
        <w:t>A/3545/2014 - 24/26 -</w:t>
      </w:r>
    </w:p>
    <w:p>
      <w:r>
        <w:rPr>
          <w:b/>
        </w:rPr>
        <w:t>E. 14</w:t>
      </w:r>
    </w:p>
    <w:p>
      <w:r>
        <w:t>Par conséquent, il y a lieu de constater que la capacité de travail de la recourante à 100% dans une activité adaptée ne lui donne pas le droit à une rente d'invalidité.</w:t>
      </w:r>
    </w:p>
    <w:p>
      <w:r>
        <w:rPr>
          <w:b/>
        </w:rPr>
        <w:t>E. 15</w:t>
      </w:r>
    </w:p>
    <w:p>
      <w:r>
        <w:t>Dans un second moyen, la recourante soutient avoir droit à des mesures de reclassement, ce qu'il convient encore d'examiner.</w:t>
      </w:r>
    </w:p>
    <w:p>
      <w:r>
        <w:rPr>
          <w:b/>
        </w:rPr>
        <w:t>E. 16</w:t>
      </w:r>
    </w:p>
    <w:p>
      <w:r>
        <w:t>a.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Le droit au reclassement suppose ainsi que l’assuré soit invalide ou menacé d’une invalidité imminente (art. 8 al. 1er LAI). Est réputé invalide au sens de l’art. 17 LAI celui qui n’est pas suffisamment réadapté, l’activité lucrative exercée jusque-là n’étant plus raisonnablement exigible ou ne l’étant plus que partiellement en raison de la forme et de la gravité de l’atteinte à la santé. b.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 Contrairement au droit à une rente (art. 28 al. 1er LAI), la loi ne dit pas à partir de quel degré d’invalidité l’assuré peut prétendre à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 Le pourcentage est calculé selon les mêmes principes que ceux appliqués lors de la détermination du degré d'invalidité dans le cas du droit à une rente (VSI 2000, p. 63, RCC 1984, p. 95).</w:t>
      </w:r>
    </w:p>
    <w:p>
      <w:r>
        <w:rPr>
          <w:b/>
        </w:rPr>
        <w:t>E. 17</w:t>
      </w:r>
    </w:p>
    <w:p>
      <w:r>
        <w:t>En l'occurrence, comme examiné précédemment, la recourante présente un taux d'invalidité de 20%. Dès lors, le droit à un reclassement lui est ouvert.</w:t>
      </w:r>
    </w:p>
    <w:p>
      <w:r>
        <w:t>A/3545/2014 - 25/26 - Dans la mesure où il est établi que les activités précédemment exercées par la recourante, d'éducatrice pour la petite enfance et de polisseuse en horlogerie, ne sont plus raisonnablement exigibles de sa part, et que seule une activité adaptée à ses limitations fonctionnelles peut aujourd'hui être exercée, une mesure de reclassement apparaît opportune. On observera d'ailleurs que la plupart des médecins consultés se sont déterminés en faveur d'une telle mesure. Ainsi, en particulier, dans ses rapports des 8 août 2014 et 30 mai 2015, le Dr F______ relevait que les perspectives professionnelles de la recourante apparaissaient très sombres sans mesures de reclassement professionnelles. Dans son rapport du 1er septembre 2014, le Dr J______ recommandait également un reclassement professionnel pour un travail ne nécessitant pas le concours de la main droite et interdisant le port de poids. Encore, dans son rapport du 3 septembre 2014, le Dr I______ conseillait la mise en œuvre d'une activité adaptée par le biais des mesures de l'assurance-invalidité.</w:t>
      </w:r>
    </w:p>
    <w:p>
      <w:r>
        <w:rPr>
          <w:b/>
        </w:rPr>
        <w:t>E. 18</w:t>
      </w:r>
    </w:p>
    <w:p>
      <w:r>
        <w:t>Compte tenu de ce qui précède, c'est à juste titre que l'intimé a nié à la recourante le droit à une rente, mais c'est à tort qu'il lui a refusé le droit à des mesures de reclassement.</w:t>
      </w:r>
    </w:p>
    <w:p>
      <w:r>
        <w:rPr>
          <w:b/>
        </w:rPr>
        <w:t>E. 19</w:t>
      </w:r>
    </w:p>
    <w:p>
      <w:r>
        <w:t>Au vu de ce qui précède, le recours est en partie admis et la décision du 17 octobre 2014 est annulée, en tant qu'elle refuse à la recourante le droit à des mesures de reclassement. Ladite décision est confirmée pour le surplus.</w:t>
      </w:r>
    </w:p>
    <w:p>
      <w:r>
        <w:rPr>
          <w:b/>
        </w:rPr>
        <w:t>E. 20</w:t>
      </w:r>
    </w:p>
    <w:p>
      <w:r>
        <w:t>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Pour le reste, étant donné que la procédure n'est plus gratuite depuis le 1er juillet 2006 (art. 69 al. 1bis LAI), au vu du sort du recours, il y a lieu de condamner l'intimé au paiement d'un émolument de CHF 400.-.</w:t>
      </w:r>
    </w:p>
    <w:p>
      <w:r>
        <w:t>A/3545/2014 - 26/26 -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