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ATAS/762/2011 vom 23. August 2011</w:t>
      </w:r>
    </w:p>
    <w:p>
      <w:r>
        <w:t>GE Cour de justice, 2011-08-23, FR</w:t>
      </w:r>
    </w:p>
    <w:p>
      <w:r>
        <w:rPr>
          <w:b/>
        </w:rPr>
        <w:t xml:space="preserve">Quelle: </w:t>
      </w:r>
      <w:r>
        <w:t>https://mcp.opencaselaw.ch/entscheid/ge_gerichte_ATAS_762_2011</w:t>
      </w:r>
    </w:p>
    <w:p>
      <w:r>
        <w:t>FR: GE_GERICHTE ATAS/762/2011 du 23 août 2011</w:t>
      </w:r>
    </w:p>
    <w:p>
      <w:r>
        <w:t>IT: GE_GERICHTE ATAS/762/2011 del 23 agosto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Le recours ayant été interjeté dans les forme et délai prévus par la loi, il est recevable (art. 56 ss LPGA).</w:t>
      </w:r>
    </w:p>
    <w:p>
      <w:r>
        <w:t>A/900/2011 - 7/10 -</w:t>
      </w:r>
    </w:p>
    <w:p>
      <w:r>
        <w:rPr>
          <w:b/>
        </w:rPr>
        <w:t>E. 4</w:t>
      </w:r>
    </w:p>
    <w:p>
      <w:r>
        <w:t>Le litige porte sur le droit de la recourante à des prestations d'assurance-invalidité.</w:t>
      </w:r>
    </w:p>
    <w:p>
      <w:r>
        <w:rPr>
          <w:b/>
        </w:rPr>
        <w:t>E. 5</w:t>
      </w:r>
    </w:p>
    <w:p>
      <w:r>
        <w:t>a)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t>A/900/2011 - 8/10 -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rPr>
          <w:b/>
        </w:rPr>
        <w:t>E. 7</w:t>
      </w:r>
    </w:p>
    <w:p>
      <w:r>
        <w:t>En l'espèce, les seuls documents médicaux versés au dossier sont les rapports du Dr M__________ et du Dr L___________, ainsi que les avis des médecins du SMR. On relèvera en premier lieu que les rapports de ces médecins ne satisfont manifestement pas aux réquisits jurisprudentiels permettant de reconnaître à une expertise une pleine valeur probante. Ils ne contiennent en effet pas d'anamnèse, ni d'indications ressortant de l'examen clinique de la recourante, et leurs conclusions ne sont guère motivées. Quant à la capacité de travail de la recourante, les avis des médecins consultés ne suffisent pas à l'établir de manière suffisamment précise. On notera à cet égard que les avis des Drs L___________ et M__________ divergent. Le premier a en effet conclu à une capacité de travail nulle du 23 avril 2008 au 15 mars 2009, puis de 50 % dès le lendemain dans une activité adaptée, tandis que le Dr M__________ a déclaré lors de son entretien téléphonique du 2 octobre 2009 avec le Dr P__________ que la recourante pouvait exercer une activité adaptée. Les déclarations du médecin traitant, telles que rapportées par le SMR, sont d'ailleurs surprenantes au regard des autres certificats et rapports qu'il a établis. On saisit en effet mal comment le Dr M__________ a pu retenir une capacité de travail entière</w:t>
      </w:r>
    </w:p>
    <w:p>
      <w:r>
        <w:t>A/900/2011 - 9/10 - en octobre 2009, alors qu'il a attesté d'une incapacité de travail de 50 % depuis mars 2009, et qu'il a fait état d'une aggravation de l'état de santé de la recourante entraînant de nouvelles limitations fonctionnelles en mai 2009, confirmée dans son rapport de juin 2009 qui préconisait l'octroi d'une demi-rente. Il est tout aussi incompréhensible que ce praticien ait annoncé au médecin du SMR une amélioration du dos et de l'épaule de la recourante, alors que le Dr O__________ avait quelques jours auparavant constaté une hernie discale des vertèbres cervicales. Enfin, admettre une capacité de travail entière en indiquant que l'exercice d'une activité lucrative, même dans une activité adaptée, provoquerait une dégradation de la symptomatologie de la recourante est en soi contradictoire. Il y a lieu d'ajouter à ces éléments que ni le Dr L___________, ni le Dr M__________ ne disposent d'une formation orthopédique, alors que les troubles de la recourante sont essentiellement de cette nature, et qu'elle n'a jamais été examinée par un spécialiste à même de se prononcer de manière circonstanciée au sujet de leur incidence sur la capacité de travail. Compte tenu des doutes que suscitent les rapports des Drs L___________ et M__________ et de leur caractère lacunaire, la capacité de travail de la recourante ne peut être établie au degré de la vraisemblance prépondérante. Le juge cantonal qui estime que les faits ne sont pas suffisamment élucidés a en principe le choix entre deux solutions: soit renvoyer la cause à l'administration pour complément d'instruction, soit procéder lui-même à une telle instruction complémentaire (ATF U 58/01 du 21 novembre 2001, consid. 5a).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n'apparaît pas 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(RAMA 1986 n° K 665, p. 87). Partant, il convient de renvoyer la cause à l'intimé afin qu'il complète l'instruction de la cause en confiant une expertise à un médecin orthopédiste.</w:t>
      </w:r>
    </w:p>
    <w:p>
      <w:r>
        <w:rPr>
          <w:b/>
        </w:rPr>
        <w:t>E. 8</w:t>
      </w:r>
    </w:p>
    <w:p>
      <w:r>
        <w:t>Au vu de ce qui précède, le recours doit être admis en ce sens que la décision du 2 mars 2011 est annulée et la cause renvoyée à l'intimé pour instruction complémentaire et nouvelle décision. L'intimé supportera également l'émolument fixé à 500 fr. (art. 69 al. 1bis LAI).</w:t>
      </w:r>
    </w:p>
    <w:p>
      <w:r>
        <w:t>A/900/2011 - 10/10 -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