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ATAS/761/2024 vom 4. Oktober 2024</w:t>
      </w:r>
    </w:p>
    <w:p>
      <w:r>
        <w:t>GE Cour de justice, 2024-10-04, FR</w:t>
      </w:r>
    </w:p>
    <w:p>
      <w:r>
        <w:rPr>
          <w:b/>
        </w:rPr>
        <w:t xml:space="preserve">Quelle: </w:t>
      </w:r>
      <w:r>
        <w:t>https://mcp.opencaselaw.ch/entscheid/ge_gerichte_ATAS_761_2024</w:t>
      </w:r>
    </w:p>
    <w:p>
      <w:r>
        <w:t>FR: GE_GERICHTE ATAS/761/2024 du 4 octobre 2024</w:t>
      </w:r>
    </w:p>
    <w:p>
      <w:r>
        <w:t>IT: GE_GERICHTE ATAS/761/2024 del 4 ottobre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Selon l’art. 84 LAVS, les décisions et les décisions sur opposition prises par les caisses cantonales de compensation peuvent faire l’objet d’un recours devant le tribunal des assurances du canton où la caisse de compensation a son siège. La compétence de la chambre de céans pour juger du cas d’espèce est ainsi établie à raison de la matière et du lieu, l’intimée ayant son siège dans le canton de Genève.</w:t>
      </w:r>
    </w:p>
    <w:p>
      <w:r>
        <w:rPr>
          <w:b/>
        </w:rPr>
        <w:t>E. 1.2</w:t>
      </w:r>
    </w:p>
    <w:p>
      <w:r>
        <w:t>Le délai de recours est de 30 jours (art. 56 LPGA; art. 62 al. 1 de la loi sur la procédure administrative, du 12 septembre 1985 [LPA - E 5 10]). Interjeté dans la forme et le délai prévus par la loi, le recours est recevable.</w:t>
      </w:r>
    </w:p>
    <w:p>
      <w:r>
        <w:t>A/1439/2024 - 4/10 -</w:t>
      </w:r>
    </w:p>
    <w:p>
      <w:r>
        <w:rPr>
          <w:b/>
        </w:rPr>
        <w:t>E. 2</w:t>
      </w:r>
    </w:p>
    <w:p>
      <w:r>
        <w:t>Le litige porte sur le calcul de la rente AVS du recourant, singulièrement sur la question de l'application des règles sur le plafonnement de rente d'un assuré en cas d'ajournement de la rente de son conjoint.</w:t>
      </w:r>
    </w:p>
    <w:p>
      <w:r>
        <w:rPr>
          <w:b/>
        </w:rPr>
        <w:t>E. 2.1</w:t>
      </w:r>
    </w:p>
    <w:p>
      <w:r>
        <w:t>Il est d’emblée précisé que, sans indication contraire, les dispositions légales citées ci-dessous sont celles applicables avant les modifications survenues le 1er janvier 2024.</w:t>
      </w:r>
    </w:p>
    <w:p>
      <w:r>
        <w:rPr>
          <w:b/>
        </w:rPr>
        <w:t>E. 2.2</w:t>
      </w:r>
    </w:p>
    <w:p>
      <w:r>
        <w:t>Les hommes qui ont atteint 65 ans révolus et les femmes qui ont atteint 64 ans révolus ont droit à une rente de vieillesse (art. 21 al. 1 LAVS). Le droit à une rente de vieillesse prend naissance le premier jour du mois suivant celui où a été atteint l’âge prescrit à l’alinéa 1 (art. 21 al. 2 LAVS). S'agissant des personnes mariées, le « splitting » figure parmi les principes à la base du calcul des rentes ordinaires, en ce sens que les revenus que les époux ont réalisés pendant les années civiles de mariage commun sont répartis et attribués pour moitié à chacun des époux, selon l'art. 29quinquies al. 3 LAVS. La répartition est effectuée notamment lorsque les deux conjoints ont droit à la rente (let. a). L'al. 4 de cette disposition précise que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l'assurance-vieillesse et survivants suisse (let. b).</w:t>
      </w:r>
    </w:p>
    <w:p>
      <w:r>
        <w:rPr>
          <w:b/>
        </w:rPr>
        <w:t>E. 2.3</w:t>
      </w:r>
    </w:p>
    <w:p>
      <w:r>
        <w:t>La loi propose plusieurs mesures permettant l'âge flexible de la retraite, à savoir en particulier l'anticipation (art. 40 LAVS) et l'ajournement de la rente (art. 39 LAVS). L'art. 39 LAVS offre la possibilité aux personnes qui ont droit à une rente ordinaire de vieillesse d'ajourner d'une année au moins et de cinq ans au plus le début du versement de la rente (al. 1). La rente de vieillesse ajournée et, le cas échéant, la rente de survivant qui lui succède sont augmentées de la contre-valeur actuarielle de la prestation non touchée (al. 2). Le Conseil fédéral fixe, d'une manière uniforme, les taux d'augmentation pour hommes et femmes, il règle la procédure et peut exclure l'ajournement de certains genres de rentes (al. 3). Ces précisions figurent aux art. 55bis à 55quater RAVS (règlement du 31 octobre 1947 sur l’assurance-vieillesse et survivants ; RS 831.101). L'art. 55ter RAVS définit le calcul du supplément en cas d'ajournement de la rente et prévoit en particulier que le montant de l'augmentation sera déterminé en divisant la somme des montants des rentes ajournées par le nombre de mois correspondants. Cette somme est multipliée par le taux d'augmentation correspondant en vertu de l'alinéa 1.</w:t>
      </w:r>
    </w:p>
    <w:p>
      <w:r>
        <w:rPr>
          <w:b/>
        </w:rPr>
        <w:t>E. 2.4</w:t>
      </w:r>
    </w:p>
    <w:p>
      <w:r>
        <w:t>Selon l’art. 35 al. 1 LAVS, la somme des deux rentes pour un couple s’élève à 150 % au plus du montant maximal de la rente de vieillesse si les deux conjoints ont droit à une rente de vieillesse ou à un pourcentage de celle-ci (let. a) ; l’un des</w:t>
      </w:r>
    </w:p>
    <w:p>
      <w:r>
        <w:t>A/1439/2024 - 5/10 - conjoints a droit à une rente de vieillesse ou à un pourcentage de celle-ci, et l’autre à une rente de l’assurance-invalidité (let. b). Dans sa directive concernant les rentes de l'assurance vieillesse, survivants et invalidité fédérale, dans la version en vigueur au 1er janvier 2023 (ci-après : directive), l’office fédéral des assurances sociales (OFAS) précise qu’en cas d'ajournement de la rente, la personne ayant droit à la rente ordinaire de vieillesse renonce à son versement pendant la durée de l'ajournement (ch. 6301). La durée de l'ajournement s'élève à une année au moins et à cinq ans au plus. Durant ce délai, il est possible de révoquer l'ajournement à compter d'un mois déterminé (art. 39 al. 1 LAVS). L'ajournement a pour effet d'augmenter la rente ordinaire de vieillesse de la personne ayant droit à la rente de la contrevaleur actuarielle des prestations non touchées pendant la période d'ajournement (ch. 6304). Le supplément en francs est un montant fixe qui correspond à un pourcentage de la moyenne des rentes ajournées (art. 55ter al. 1 RAVS). La prolongation de la durée d'ajournement a pour effet d'augmenter le pourcentage. Le supplément d'ajournement, exprimé en pour cent, est déterminé à l'aide de la table de l'art. 55ter al. 1 RAVS, entre 5,2 % et 31,5 % (ch. 6305). Selon le ch. 6332 de la directive, le montant mensuel de la rente ajournée se compose du montant mensuel de la rente correspondante, non ajournée (montant de base de la rente), auquel s'ajoute le supplément d'ajournement. Le montant de base de la rente correspond au montant mensuel de la rente ordinaire de vieillesse au début de la période d'ajournement adapté aux augmentations découlant de révisions intermédiaires (ch. 6333, première phrase). Le supplément d'ajournement est déterminé en divisant la somme des montants effectifs des rentes ajournées par le nombre de mois correspondants. Ce montant est ensuite multiplié par le taux d'augmentation correspondant, conformément au ch. 6305 DR (art. 55ter al. 2 RAVS ; ch. 6335). La formule suivante est ainsi applicable : [somme des rentes ajournées x taux d'ajournement] / [durée de l'ajournement (= nombre de mois)] (ch. 6336 ; cf. aussi le Mémento AVS/Al n° 3.04 Prestations de l'AVS – Flexibilisation de la retraite, ch. 9 ss). Pour les couples mariés, le ch. 6303 de la directive prévoit que si le conjoint de la personne qui ajourne sa rente a lui-même droit à la rente, la rente de ce dernier est déjà soumise au plafonnement pendant la durée de l'ajournement conformément à l'art. 35 LAVS. Le supplément à la rente de vieillesse ajournée est calculé séparément pour chaque conjoint. Ce supplément n'est pas touché par le plafonnement (ch. 6339). Les rentes de vieillesse et d'invalidité revenant aux conjoints seront en principe plafonnées dès (et y compris) le mois à partir duquel le deuxième conjoint acquiert un droit à la rente (ch. 5514). Il faut, en cas d'ajournement d'une rente de vieillesse, toujours procéder à l'examen de l'éventualité d'un plafonnement avant la prise en compte du supplément d'ajournement (ch. 5519).</w:t>
      </w:r>
    </w:p>
    <w:p>
      <w:r>
        <w:t>A/1439/2024 - 6/10 -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LTF (loi du 17 juin 2005 sur le Tribunal fédéral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131 V 42 consid. 2.3 et les références ; arrêt du Tribunal fédéral 9C_283/2010 du 17 décembre 2010 consid. 4.1).</w:t>
      </w:r>
    </w:p>
    <w:p>
      <w:r>
        <w:rPr>
          <w:b/>
        </w:rPr>
        <w:t>E. 2.5</w:t>
      </w:r>
    </w:p>
    <w:p>
      <w:r>
        <w:t>La loi s'interprète en premier lieu selon sa lettre (interprétation littérale). Le Tribunal fédéral ne se fonde cependant sur la compréhension littérale du texte que s'il en découle sans ambiguïté une solution matériellement juste (ATF 148 II 299 consid. 7.1).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(ATF 138 II 557 consid. 7.1 et les références citées).</w:t>
      </w:r>
    </w:p>
    <w:p>
      <w:r>
        <w:rPr>
          <w:b/>
        </w:rPr>
        <w:t>E. 2.6</w:t>
      </w:r>
    </w:p>
    <w:p>
      <w:r>
        <w:t>Dans un arrêt 2024/246 du 15 mars 2024, la cour des assurances sociales du canton de Vaud a été saisie de la question de l'application des règles sur le plafonnement de rente d'un assuré en cas d'ajournement de la rente de son conjoint. Procédant à une interprétation littérale, historique et téléologique de l’art. 35 LAVS, elle a relevé que le plafonnement des rentes pour un couple intervenait lorsque le droit à la rente était ouvert pour les deux conjoints. C’était donc le droit à la rente qui était déterminant et non son versement effectif.</w:t>
      </w:r>
    </w:p>
    <w:p>
      <w:r>
        <w:rPr>
          <w:b/>
        </w:rPr>
        <w:t>E. 2.7</w:t>
      </w:r>
    </w:p>
    <w:p>
      <w:r>
        <w:t>En l’espèce, le recourant conteste l'application de la règle sur le plafonnement au moment où l'épouse a atteint l'âge de la retraite, en 2017, dès lors qu'elle n’avait pas perçu la rente dont elle avait requis l'ajournement du versement. Il soutient que la directive (ch. 6303) le confronte à une « application anticipée arbitraire » des dispositions de l’art. 35 LAVS bien que son conjoint ne perçoive pas de rente. L’intimée considère pour sa part que la directive ne fait que reprendre l’art. 35 LAVS. Or, selon cette disposition, c’est bien le moment auquel une personne a</w:t>
      </w:r>
    </w:p>
    <w:p>
      <w:r>
        <w:t>A/1439/2024 - 7/10 - droit à sa rente AVS, et non celui auquel elle demande effectivement son versement, qui est pertinent. Le raisonnement de l’intimée doit être suivi. Il résulte du texte clair de l’art. 35 LAVS que le plafonnement des rentes pour un couple intervient lorsque le droit à la rente est ouvert pour les deux conjoints. C’est donc le droit à la rente qui est déterminant et non son versement effectif. Quoi qu’en dise le recourant, la directive de l’OFAS, en particulier son ch. 6303, ne fait que confirmer ce principe. Ainsi que l’a retenu la cour des assurances sociales du canton de Vaud, cette lecture littérale de la loi est confirmée par l’interprétation historique et téléologique de l’art. 35 LAVS. Il ressort en effet des travaux parlementaires que le législateur a sciemment maintenu le plafonnement des rentes pour époux malgré l'introduction du principe de l'individualisation des rentes (10e révision de l’AVS ; cf. Message du Conseil fédéral du 5 mars 1990 concernant la dixième révision de l'assurance-vieillesse et survivants, FF 1990 II 1 ss). Le but du plafonnement était de tenir compte de l’unité économique réalisée par le couple (cf. ATF 130 V 505 et les références citées). Or, cette unité perdure même si un des conjoints décide d’ajourner sa rente. La volonté du législateur était de faire correspondre le supplément de rente à la contre-valeur de la rente qui n'a pas été touchée (arrêt du Tribunal fédéral 9C_597/2023 du 20 décembre 2023 consid. .2.2). En ce qui concerne les couples mariés, cette valeur de rente qui n'a pas été touchée correspond au montant de la rente individuelle de chaque conjoint, calculé comme s'il n'y avait pas eu de demande d'ajournement en suivant les règles du splitting (art. 29quinquies LAVS) et du plafonnement (art. 35 LAVS ; Message du Conseil fédéral relatif à la stabilisation de l'AVS du 28 août 2019 [réforme AVS 21], FF 2019 5979). Le moment déterminant pour fixer le montant de base et le supplément est donc l'acquisition de l'âge ordinaire de la retraite. Il suit de là que l’interprétation faite par l’intimée est conforme à la loi. C’est partant à juste titre que l’intimée a plafonné le montant de la rente mensuelle ordinaire du recourant en application de l’art. 35 LAVS dès le 1er décembre 2018, le droit à la rente de son épouse ayant pris naissance le 1er octobre 2017.</w:t>
      </w:r>
    </w:p>
    <w:p>
      <w:r>
        <w:rPr>
          <w:b/>
        </w:rPr>
        <w:t>E. 3</w:t>
      </w:r>
    </w:p>
    <w:p>
      <w:r>
        <w:t>Le recourant invoque une violation de l’égalité de traitement.</w:t>
      </w:r>
    </w:p>
    <w:p>
      <w:r>
        <w:rPr>
          <w:b/>
        </w:rPr>
        <w:t>E. 3.1</w:t>
      </w:r>
    </w:p>
    <w:p>
      <w:r>
        <w:t>D'après l'art. 8 al. 2 de la Constitution fédérale de la Confédération suisse du 18 avril 1999 (Cst. - RS 101),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L'interdiction de la discrimination implique ainsi que soit en jeu un critère sensible, en règle générale une caractéristique personnelle (Vincent MARTENET, in MARTENET/DUBEY [éd.], Commentaire romand de la Constitution fédérale, Bâle 2021, n. 63 ad art. 8 Cst.). Une discrimination au sens de l'art. 8 al. 2 Cst. est réalisée lorsqu'une personne est juridiquement traitée de manière différente uniquement en raison de son appartenance à un groupe</w:t>
      </w:r>
    </w:p>
    <w:p>
      <w:r>
        <w:t>A/1439/2024 - 8/10 -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147 I 89 consid. 2.1 ; 147 I 1 consid. 5.2 ; 145 I 73 consid. 5.1 ; 143 I 129 consid. 2.3.1 et les références citées).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142 V 316 consid. 6.1.2 ; 138 I 265 consid. 4.2.2).</w:t>
      </w:r>
    </w:p>
    <w:p>
      <w:r>
        <w:rPr>
          <w:b/>
        </w:rPr>
        <w:t>E. 3.2</w:t>
      </w:r>
    </w:p>
    <w:p>
      <w:r>
        <w:t>Selon l’art. 190 Cst., le Tribunal fédéral et les autres autorités sont tenus d’appliquer les loi fédérales et le droit international.</w:t>
      </w:r>
    </w:p>
    <w:p>
      <w:r>
        <w:rPr>
          <w:b/>
        </w:rPr>
        <w:t>E. 3.3</w:t>
      </w:r>
    </w:p>
    <w:p>
      <w:r>
        <w:t>En l’espèce, le recourant soutient que l’application de la directive pénalise les couples de même âge dont l’un des conjoints, mais pas l’autre, a demandé l’ajournement de sa rente. Ce point de vue ne saurait être suivi. En effet, même si le conjoint qui a demandé l’ajournement ne perçoit pas la rente dans l'immédiat, il n'y renonce pas, mais la touchera plus tard avec un supplément calculé sur la base de la rente ajournée. Dans l'intervalle, le conjoint qui ajourne la perception de sa rente continue d’exercer son activité professionnelle dont il touche un revenu. Il continue donc à alimenter les ressources du couple et à partager ses charges d’une part, puis il bénéficie de son droit à la rente dès qu'il atteint l'âge de la retraite ordinaire même s'il ne perçoit pas son versement dans l'immédiat. On ne voit pas en quoi ce système aurait un effet dommageable sur les couples de même âge, étant rappelé que le plafonnement s’explique par le fait que le couple représente, aux yeux du législateur, une unité économique dès l’acquisition de l’âge ordinaire de la retraite. Les besoins financiers d’un couple, dont l’un des conjoints continue à exercer une activité lucrative jusqu’à l’âge de sa retraite alors que l’autre a déjà atteint l’âge de référence, ne sont pas les mêmes que ceux dont les deux conjoints ont déjà acquis le droit à la rente. Ainsi que l’a relevé le Tribunal cantonal vaudois dans l’arrêt précité, le système introduit par l'art. 35 LAVS instille plutôt une inégalité de traitement entre les couples mariés et les partenaires enregistrés, d'une part, et les couples vivant en concubinage, d'autre part. Le Tribunal fédéral a</w:t>
      </w:r>
    </w:p>
    <w:p>
      <w:r>
        <w:t>A/1439/2024 - 9/10 - toutefois reconnu que le plafonnement des rentes ne constituait pas une discrimination illicite au regard de la jurisprudence de la Cour européenne des droits de l'homme (ATF 140 I 77). Le grief du recourant tiré de l’inégalité de traitement doit partant être rejeté.</w:t>
      </w:r>
    </w:p>
    <w:p>
      <w:r>
        <w:rPr>
          <w:b/>
        </w:rPr>
        <w:t>E. 3.4</w:t>
      </w:r>
    </w:p>
    <w:p>
      <w:r>
        <w:t>Le recours doit partant être rejeté et la décision sur opposition de l’intimée confirmée. Le recourant, qui succombe, n’a pas droit à des dépens (art. 61 let. g LPGA a contrario). La procédure est gratuite (art. 61 let. fbis LPGA a contrario).</w:t>
      </w:r>
    </w:p>
    <w:p>
      <w:r>
        <w:t>******</w:t>
      </w:r>
    </w:p>
    <w:p>
      <w:r>
        <w:t>A/1439/2024 - 10/10 -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