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ATAS/761/2016 vom 27. September 2016</w:t>
      </w:r>
    </w:p>
    <w:p>
      <w:r>
        <w:t>GE Cour de justice, 2016-09-27, FR</w:t>
      </w:r>
    </w:p>
    <w:p>
      <w:r>
        <w:rPr>
          <w:b/>
        </w:rPr>
        <w:t xml:space="preserve">Quelle: </w:t>
      </w:r>
      <w:r>
        <w:t>https://mcp.opencaselaw.ch/entscheid/ge_gerichte_ATAS_761_2016</w:t>
      </w:r>
    </w:p>
    <w:p>
      <w:r>
        <w:t>FR: GE_GERICHTE ATAS/761/2016 du 27 septembre 2016</w:t>
      </w:r>
    </w:p>
    <w:p>
      <w:r>
        <w:t>IT: GE_GERICHTE ATAS/761/2016 del 27 settembre 2016</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mettant un terme à des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de forme et de contenu prescrites par l’art. 61 let. b LPGA (cf. aussi art. 89B LPA). Touché par la décision attaquée et ayant un intérêt digne de protection à l’annulation ou la modification de cette dernière, l’assuré a qualité pour recourir (art. 59 LPGA). c. Il sied de préciser que l’objet du présent recours ne saurait déborder du cadre délimité par la décision attaquée, qui a été rendue en application de la LAA et ne porte que sur des prestations, en particulier des indemnités journalières, prévues par cette loi. La chambre de céans n’a pas à aborder la question de savoir si le recourant aurait droit, pour la période considérée, à des indemnités de perte de gain maladie de l’assureur-maladie de son employeur, et ce que ledit assureur-maladie – abstraction faite du point de savoir si le recourant s’est trouvé en incapacité de travail durant ladite période – soit tenu le cas échéant en vertu d’une assurance d’indemnités journalières en cas de maladie, individuelle ou collective (la dernière hypothèse apparaissant ici plus probable au vu de la prise de position de SWICA Assurance-maladie SA du 29 juin 2015), souscrite dans le cadre de l’assurance- maladie sociale, régie par la LAMal et la LPGA, ou qu’il le soit en vertu d’un contrat d’assurance privée, soumis à la loi fédérale sur le contrat d'assurance du</w:t>
      </w:r>
    </w:p>
    <w:p>
      <w:r>
        <w:rPr>
          <w:b/>
        </w:rPr>
        <w:t>E. 2</w:t>
      </w:r>
    </w:p>
    <w:p>
      <w:r>
        <w:t>Le litige porte sur le droit du recourant, au regard de la LAA, à des prestations, en particulier des indemnités journalières de la part de l’intimée du 23 mars au 1er mai 2015 pour les accidents qu’il a subis les 24 août 2012 et 17 juillet 2014. Il doit être tranché au regard de la LAA et, dans la mesure de son applicabilité (art. 1 al. 1 LAA), de la LPGA. Comme pour les questions de procédure, les dispositions matérielles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op. cit.,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5). Il doit examiner de manière objective tous les moyens de preuve,</w:t>
      </w:r>
    </w:p>
    <w:p>
      <w:r>
        <w:t>A/3809/2015 - 11/18 -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w:t>
      </w:r>
    </w:p>
    <w:p>
      <w:r>
        <w:t>A/3809/2015 - 12/18 -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125 V 195 consid. 2 ; RAMA 2000 n. U 363 p. 46). e.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w:t>
      </w:r>
    </w:p>
    <w:p>
      <w:r>
        <w:t>A/3809/2015 - 13/18 -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w:t>
      </w:r>
    </w:p>
    <w:p>
      <w:r>
        <w:t>A/3809/2015 - 14/18 -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6</w:t>
      </w:r>
    </w:p>
    <w:p>
      <w:r>
        <w:t>a. En l’espèce, le recourant ne conteste pas qu’il a recouvré une pleine capacité de travail dès le (samedi) 2 mai 2015. Se fondant sur l’arrêt de travail que l’orthopédiste l’ayant suivi avait prolongé jusqu’au 1er mai 2015 en date du 19 mars 2015, il estime que l’intimée n’était pas en droit de cesser le versement de ses prestations, en particulier des indemnités journalières, le 23 mars 2015, mais devaient les lui verser jusqu’au 1er mai 2015. Plusieurs considérations s’opposent à ce que ledit certificat médical d’arrêt de travail puisse se voir reconnaître valeur probante. En effet, il n’est nullement motivé ; il a été établi alors que l’expertise médicale avait certes déjà été faite mais que ses conclusions et les motifs retenus par l’expert n’avaient pas encore été communiqués audit médecin (ni au recourant) ; il n’a pas été contesté par ledit médecin, a fortiori de façon motivée, alors que l’intimée avait indiqué au recourant, par téléphone du 24 mars 2015, que son médecin recevait ce rapport d’expertise et qu’il lui était loisible (à lui-même ou à l’évidence audit médecin) de lui adresser un rapport détaillé s’il avait des éléments nouveau à lui soumettre ; après avoir pris connaissance du rapport d’expertise, le médecin considéré a établi, le 1er mai 2015, un certificat de pleine capacité de travail dès le 4 mai 2015 (alors que, selon ce que le recourant a dit à l’intimée lors dudit téléphone du 24 mars 2015, il envisageait alors une reprise d’activité à 50 % seulement depuis mai 2015). De surcroît, si le recourant lui avait été adressé initialement par son médecin traitant, ledit médecin l’avait suivi depuis lors et en était devenu de la sorte aussi un médecin traitant, dont l’avis, surtout dans les conditions susrappelées, doit être pris avec la réserve liée à</w:t>
      </w:r>
    </w:p>
    <w:p>
      <w:r>
        <w:t>A/3809/2015 - 15/18 - cette qualité de mandataire (ATF 125 V 353 consid. 3a/cc ; arrêt du Tribunal fédéral des assurances I 419/03 du 22 octobre 2003 consid. 4 in fine). b. L’expertise du Dr H_____, qui est un médecin indépendant de l’intimée et a agi au bénéfice d’un mandat d’expertise et non d’un mandat thérapeutique, répond aux exigences jurisprudentielles devant conduire à lui reconnaître valeur probante. Non seulement elle émane d’un spécialiste de la discipline médicale pertinente (à savoir l’orthopédie), mais aussi elle est substantielle, se base sur une étude fouillée du cas, prend en compte et analyse les faits pertinents du dossier et les différents pièces médicales figurant au dossier, et comporte des conclusions dûment motivées. De plus, ledit expert ne s’est pas prononcé que sur pièces ; il a lui-même ausculté le recourant. Ainsi, dans son expertise analytique par diagnostic, ledit expert a retenu, s’agissant de l’accident du 17 juillet 2014, que ce dernier avait provoqué une minime fissure de la métaphyse distale de la fibula droite, ainsi qu’une élongation du ligament collatéral latéral au niveau du faisceau talo-fibulaire antérieur, du faisceau calcanéo-fibulaire et du faisceau talo-fibulaire postérieur. Au jour de l’expertise (le 2 février 2015), l’examen clinique ne montrait plus aucun signe avec la fissure métaphysaire de la fibula. Concernant les lésions ligamentaires, les articulations de la cheville et du pied avaient récupéré une mobilité normale et étaient indolores, et il n’y avait pas de laxité objectivable, ni de tiroir antérieur à l’examen clinique. La force des muscles moteurs du pied était conservée. Les trois faisceaux du ligament collatéral latéral étaient cicatrisés sur l'IRM de la cheville droite du 5 septembre 2014. Il n’y avait plus non plus de signe clinique en rapport avec le diagnostic d’algodystrophie de la cheville et du pied droits. L’examen ne montrait plus d’augmentation de la chaleur locale, ni d’œdème local, ni de rougeur de la jambe, de la cheville et du pied, ni de tuméfaction. Les mobilités de l’articulation tibio- tarsienne et des articulations du pied étaient dans les normes et indolores. Quant à l’accident du 24 août 2012, il avait provoqué une contusion du compartiment externe du genou gauche, dont il n’y avait cependant plus de signe clinique au jour de l’expertise. L’IRM du genou gauche qui avait été réalisée le 6 novembre 2012 n’avait déjà montré aucune lésion post-traumatique au niveau de ce genou. Il n’y avait plus de séquelle objectivable tant de l’accident du 24 août 2012 que de celui du 17 juillet 2014, qui n’avaient plus engendré d’incapacité de travail depuis respectivement le 6 novembre 2012 et le 2 février 2015. c. Avant que la décision attaquée ne soit rendue, l’expert s’est prononcé sur les deux rapports radiologiques produits par le recourant (alors opposant), à savoir celui du 4 mars 2015 des Drs J_____ et K_____ sur l’IRM de la cheville droite réalisée le 4 mars 2015 et celui du 19 juin 2015 du Dr J_____ sur l’arthroscanner de la même cheville du 16 juin 2015. Ces deux rapports radiologiques sont purement descriptifs ; ils ne comportent pas d’appréciation sur la capacité de travail du recourant. L’expert a expliqué de façon convaincante que les constats qui y figurent ne contredisent ni les siens (mais ne</w:t>
      </w:r>
    </w:p>
    <w:p>
      <w:r>
        <w:t>A/3809/2015 - 16/18 - font que de témoigner de l’accident considéré, propre à laisser durablement de telles traces), ni, surtout, ses conclusions. Dans la mesure où, s’agissant du rapport du 4 mars 2015, il y aurait une divergence, à propos de l’épaississement du ligament talo-fibulaire postérieur, quant au point de savoir s’il tenait à un conflit au niveau de la face postérieure du talus, la chambre de céans estime devoir ajouter foi à la déclaration de l’expert que l’examen clinique n’étayait pas un tel conflit, comme d’ailleurs à celle que de possibles petites lésions cartilagineuses ne justifiaient en tout état pas d’incapacité de travail. Il n’y a pas non plus d’élément devant conduire à ne pas retenir, ainsi que l’expert l’a déclaré, que l’arthroscopie effectuée le 16 juin 2015 ne représentait pas un examen de référence pour investiguer une algodystrophie et, surtout, que celle qu’avait eue le recourant n’était plus active, quand bien même des signes, visibles à l’imagerie, subsistaient, de tels signes ne s’estompant qu’à long terme, mais n’étayaient aucunement une incapacité de travail. d. Quant à lui, le Dr I_____, s’il a certes rapporté les plaintes du recourant quant à des douleurs au niveau du genou gauche dans son courrier du 26 février 2015 (postérieur à l’expertise), il a précisé que ces douleurs étaient mieux circonscrites que deux ans plus tôt, et, surtout, il a précisé que l’examen du genou était dans l’ensemble dans les limites de la norme, et il a par ailleurs estimé que l’évolution de la cheville était favorable, même s’il relevait une perte de mobilité, sans noter – sied-il de relever – une quelconque incapacité de travail, de façon générale comme en lien avec les séquelles des deux accidents considérés. e. Certes le 14 octobre 2015, la Dresse L_____ a relaté des plaintes du recourant relatives à une persistance de douleurs irradiant dans le mollet droit, mais elle n’a pas relevé, à l’examen clinique, d’anomalie susceptibles de les expliquer, même si elle a constaté une flexion dorso-plantaire à 60 % à droite. Elle n’a préconisé aucun traitement ni intervention, et a indiqué explicitement que la capacité de travail du recourant était entière. f. Enfin, ce ne sont pas les photos de ses chevilles que le recourant a produites le 12 février 2016 – selon lui trois du 3 février 2015 et une du 30 août 2014 – qui peuvent convaincre la chambre de céans de sa prétendue incapacité de travail du 23 mars au 1er mai 2015 (d’autant plus que si celle qui serait du 30 août 2014 illustre une atteinte à la cheville droite qu’on discerne à peine sur les trois autres). g. S’il est exact que par courrier du 3 mars 2015, le recourant avait, au demeurant sommairement et sans avancer d’argument pertinents, évoqué la nécessité à ses yeux d’une contre-expertise, force est de dire que le rapport d’expertise du Dr H_____ a été suffisamment complet et convainquant pour que l’intimée n’ait pas à donner suite à ce souhait voire cette requête du recourant. L’intimée a en revanche pris soin, à bon droit, de solliciter des prises de position dudit expert sur les deux rapports radiologiques précités.</w:t>
      </w:r>
    </w:p>
    <w:p>
      <w:r>
        <w:t>A/3809/2015 - 17/18 - L’intimée n’a pas violé le droit d’être entendu du recourant avant de rendre respectivement sa décision du 23 mars 2015 et celle, sur opposition, du 30 septembre 2015 en n’ordonnant pas une contre-expertise. Il en va de même de la chambre de céans, qui estime pouvoir et devoir accorder une pleine force probante au rapport d’expertise du Dr H_____ et à ses prises de position sur les deux rapports radiologiques précités (cf. sur l’appréciation anticipée des preuves : ATF 124 V 90 consid. 4b ; 122 V 157 consid. 1d ; 122 II 464 consid. 4a ; 122 III 219 consid. 3c ; SVR 2001 IV n. 10 p. 28 consid. 4b). Les conditions auxquelles une nouvelle expertise doit être ordonnée ne sont pas remplies.</w:t>
      </w:r>
    </w:p>
    <w:p>
      <w:r>
        <w:rPr>
          <w:b/>
        </w:rPr>
        <w:t>E. 7</w:t>
      </w:r>
    </w:p>
    <w:p>
      <w:r>
        <w:t>C’est à bon droit que l’intimée a mis fin aux prestations, en particulier aux indemnités journalières, au 23 mars 2015. Le recours sera rejeté.</w:t>
      </w:r>
    </w:p>
    <w:p>
      <w:r>
        <w:rPr>
          <w:b/>
        </w:rPr>
        <w:t>E. 8</w:t>
      </w:r>
    </w:p>
    <w:p>
      <w:r>
        <w:t>La procédure est gratuite, le recourant n’ayant pas agi de manière téméraire ou témoigné de légèreté (art. 60 let. b LPGA). Vu l’issue donnée au recours, il ne sera pas alloué d’indemnité de procédure au recourant (art. 60 let. g LPGA), ni à l’intimée. * * * * * *</w:t>
      </w:r>
    </w:p>
    <w:p>
      <w:r>
        <w:t>A/3809/2015 - 18/18 -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