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ATAS/761/2015 vom 12. Oktober 2015</w:t>
      </w:r>
    </w:p>
    <w:p>
      <w:r>
        <w:t>GE Cour de justice, 2015-10-12, FR</w:t>
      </w:r>
    </w:p>
    <w:p>
      <w:r>
        <w:rPr>
          <w:b/>
        </w:rPr>
        <w:t xml:space="preserve">Quelle: </w:t>
      </w:r>
      <w:r>
        <w:t>https://mcp.opencaselaw.ch/entscheid/ge_gerichte_ATAS_761_2015</w:t>
      </w:r>
    </w:p>
    <w:p>
      <w:r>
        <w:t>FR: GE_GERICHTE ATAS/761/2015 du 12 octobre 2015</w:t>
      </w:r>
    </w:p>
    <w:p>
      <w:r>
        <w:t>IT: GE_GERICHTE ATAS/761/2015 del 12 ottobre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w:t>
      </w:r>
    </w:p>
    <w:p>
      <w:r>
        <w:t>A/2711/2015 - 4/7 -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suspension du droit à l’indemnité de chômage du recourant pour une durée de cinq jours.</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w:t>
      </w:r>
    </w:p>
    <w:p>
      <w:r>
        <w:t>A/2711/2015 - 5/7 - 2007, chiffre D 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a expliqué qu’il avait été victime de deux oublis la même semaine, soit l’envoi hors délai du formulaire de recherche d’emploi du mois de mai 2015 et le rendez-vous manqué à l’entretien de conseil du 15 juin 2015, au motif qu’il présentait, à cette époque, des symptômes persistants d’un burn-out survenu en novembre 2014, et cela nonobstant la remise au travail prescrite par sa psychiatre traitante le 1er mars 2015. Il estime qu’aucune sanction ne devrait être prononcée à son encontre. L’intimée considère en revanche que le recourant était en capacité de travail au moment des faits, de sorte que la sanction est justifiée. A cet égard, la chambre de céans constate en effet que le recourant était apte au travail, selon le certificat de la doctoresse C______, depuis le 1er mars 2015, soit également le 15 juin 2015, date de l’entretien de conseil, de sorte qu’on pouvait exiger de lui qu’il donne suite à cette convocation. Cependant, la Dresse C______ a précisé, le 3 juillet 2015, que le recourant souffrait, durant la période mai-juin 2015, d’un trouble dépressif avec trouble de la concentration, angoisse, insomnie, fatigue, le motivant à rester enfermé à la maison et l’empêchant d’effectuer des tâches administratives. Le recourant a également précisé, en audience de comparution personnelle, qu’il avait été en incapacité de travail depuis novembre 2014 et avait dû être assisté par des proches, car il ne sortait plus de chez lui. Il apparaît ainsi, au degré de la vraisemblance prépondérante, que le recourant a été victime, le 15 juin 2015, d’un oubli dû aux troubles décrits par la Dresse C______, ce qui réduit l’importance de sa faute.</w:t>
      </w:r>
    </w:p>
    <w:p>
      <w:r>
        <w:t>A/2711/2015 - 6/7 - Compte tenu de ces circonstances particulières, la sanction de cinq jours de suspension du droit à l’indemnité du recourant paraît disproportionnée et sera ramenée à deux jours.</w:t>
      </w:r>
    </w:p>
    <w:p>
      <w:r>
        <w:rPr>
          <w:b/>
        </w:rPr>
        <w:t>E. 7</w:t>
      </w:r>
    </w:p>
    <w:p>
      <w:r>
        <w:t>Partant, le recours sera partiellement admis et la décision litigieuse réformée en ce sens que la sanction est ramenée à deux jours de suspension du droit à l’indemnité du recourant.</w:t>
      </w:r>
    </w:p>
    <w:p>
      <w:r>
        <w:t>A/2711/2015 - 7/7 -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