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ATAS/761/2012 vom 5. Juni 2012</w:t>
      </w:r>
    </w:p>
    <w:p>
      <w:r>
        <w:t>GE Cour de justice, 2012-06-05, FR</w:t>
      </w:r>
    </w:p>
    <w:p>
      <w:r>
        <w:rPr>
          <w:b/>
        </w:rPr>
        <w:t xml:space="preserve">Quelle: </w:t>
      </w:r>
      <w:r>
        <w:t>https://mcp.opencaselaw.ch/entscheid/ge_gerichte_ATAS_761_2012</w:t>
      </w:r>
    </w:p>
    <w:p>
      <w:r>
        <w:t>FR: GE_GERICHTE ATAS/761/2012 du 5 juin 2012</w:t>
      </w:r>
    </w:p>
    <w:p>
      <w:r>
        <w:t>IT: GE_GERICHTE ATAS/761/2012 del 5 giugno 2012</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entrée en vigueur le 1er janvier 2003 est applicable.</w:t>
      </w:r>
    </w:p>
    <w:p>
      <w:r>
        <w:rPr>
          <w:b/>
        </w:rPr>
        <w:t>E. 3</w:t>
      </w:r>
    </w:p>
    <w:p>
      <w:r>
        <w:t>Déposé dans les formes et délai prévus par la loi, le présent recours est recevable (art. 56 à 61 LPGA).</w:t>
      </w:r>
    </w:p>
    <w:p>
      <w:r>
        <w:rPr>
          <w:b/>
        </w:rPr>
        <w:t>E. 4</w:t>
      </w:r>
    </w:p>
    <w:p>
      <w:r>
        <w:t>Le litige porte sur l'évaluation de l'état de santé de l'assuré depuis 2004 et sur sa capacité de travail depuis lors, ainsi que sur l'octroi d'une rente d'invalidité, subsidiairement d'indemnités journalières durant les mesures professionnelles dont l'assuré a bénéficié de 2007 à 2009.</w:t>
      </w:r>
    </w:p>
    <w:p>
      <w:r>
        <w:rPr>
          <w:b/>
        </w:rPr>
        <w:t>E. 5</w:t>
      </w:r>
    </w:p>
    <w:p>
      <w:r>
        <w:t>En l'espèce, l'OAI refuse de se prononcer sur la période excédant la décision du 7 juin 2007, bien que l'opportunité lui en eût été donnée, et le Tribunal fédéral estime que cela suffit pour empêcher toute extension de l'objet du litige. Ainsi, une instruction médicale ordonnée par la Cour devrait se limiter à établir l'état de santé de l'assuré jusqu'en juin 2007, alors qu'il s'est notablement aggravé dès 2009. De plus, la Cour est convaincue de la valeur probante de l'expertise de la CRR, mais ne peut pas se fonder sur ses conclusions pour trancher ne serait-ce que la situation de l'assuré jusqu'en juin 2007. Finalement, seul l'OAI peut prendre une décision d'octroi d'indemnités journalières. Pour l'ensemble de ces motifs, il ne se justifie pas que la Cour procède elle-même à l'instruction complémentaire que le Tribunal fédéral estime nécessaire. Ainsi, la cause est renvoyée à l'OAI, afin que celle-ci ordonne une expertise pluridisciplinaire déterminant la capacité de travail de l'assuré depuis janvier 2006, y compris son évolution postérieurement à la décision,</w:t>
      </w:r>
    </w:p>
    <w:p>
      <w:r>
        <w:t>A/2643/2007 - 4/5 - dès lors que l'OAI concluait en janvier 2010 au renvoi du dossier pour procéder à une telle évaluation, en raison précisément de l'aggravation de l'état de santé dès janvier 2009. Après cette évaluation, l'OAI devra se prononcer sur la capacité de travail de l'assuré, en motivant sa position si la 2ème expertise aboutissait à des conclusions différentes de celle de la CRR, puis rendre une nouvelle décision statuant sur le droit de l'assuré à une rente d'invalidité et/ou des indemnités journalières.</w:t>
      </w:r>
    </w:p>
    <w:p>
      <w:r>
        <w:rPr>
          <w:b/>
        </w:rPr>
        <w:t>E. 6</w:t>
      </w:r>
    </w:p>
    <w:p>
      <w:r>
        <w:t>Ainsi, le recours est partiellement admis. Compte tenu de l'issue du litige, la Cour renonce à la perception d'un émolument. Le recourant, qui obtient partiellement gain de cause, a droit à une indemnité à titre de participation à ses frais et dépens, que la Cour fixe en l'espèce à 2’500 fr. (art. 61 let. g LPGA ; art. 89H al. 3 LPA).</w:t>
      </w:r>
    </w:p>
    <w:p>
      <w:r>
        <w:t>A/2643/2007 - 5/5 -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