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ATAS/761/2011 vom 23. August 2011</w:t>
      </w:r>
    </w:p>
    <w:p>
      <w:r>
        <w:t>GE Cour de justice, 2011-08-23, FR</w:t>
      </w:r>
    </w:p>
    <w:p>
      <w:r>
        <w:rPr>
          <w:b/>
        </w:rPr>
        <w:t xml:space="preserve">Quelle: </w:t>
      </w:r>
      <w:r>
        <w:t>https://mcp.opencaselaw.ch/entscheid/ge_gerichte_ATAS_761_2011</w:t>
      </w:r>
    </w:p>
    <w:p>
      <w:r>
        <w:t>FR: GE_GERICHTE ATAS/761/2011 du 23 août 2011</w:t>
      </w:r>
    </w:p>
    <w:p>
      <w:r>
        <w:t>IT: GE_GERICHTE ATAS/761/2011 del 23 agosto 2011</w:t>
      </w:r>
    </w:p>
    <w:p>
      <w:pPr>
        <w:pStyle w:val="Heading2"/>
      </w:pPr>
      <w:r>
        <w:t>Erwägungen</w:t>
      </w:r>
    </w:p>
    <w:p>
      <w:r>
        <w:rPr>
          <w:b/>
        </w:rPr>
        <w:t>E. 36</w:t>
      </w:r>
    </w:p>
    <w:p>
      <w:r>
        <w:t>Dans sa réponse du 16 mai 2011, l'intimé a conclu au rejet du recours. Il allègue que l'évaluation par les experts du CHUV a eu lieu en phase active de la maladie et n'est ainsi pas déterminante, d'autant plus que ces experts ont indiqué que la situation pourrait s'améliorer sous traitement optimal. Par ailleurs, il conteste que l'évaluation par le SMR ne tienne compte des seules atteintes gastro-entérologiques, puisque les limitations fonctionnelles retenues excluent le port de charges, la marche prolongée et imposent des changements de position fréquents.</w:t>
      </w:r>
    </w:p>
    <w:p>
      <w:r>
        <w:rPr>
          <w:b/>
        </w:rPr>
        <w:t>E. 37</w:t>
      </w:r>
    </w:p>
    <w:p>
      <w:r>
        <w:t>Par réplique du 24 mai 2011, le recourant a persisté dans ses conclusions. Il fait grief à l'intimé d'écarter les conclusions des spécialistes en gastro-entérologie et rappelle que les problèmes de genoux et de hanche n'ont pas été évoqués dans le rapport d'expertise. Il reproche de surcroît à l'intimé de ne pas avoir déterminé quelles activités étaient exigibles.</w:t>
      </w:r>
    </w:p>
    <w:p>
      <w:r>
        <w:rPr>
          <w:b/>
        </w:rPr>
        <w:t>E. 38</w:t>
      </w:r>
    </w:p>
    <w:p>
      <w:r>
        <w:t>L'intimé, dans son courrier du 22 juin 2011, a persisté dans ses conclusions en renvoyant à l'argumentation développée dans sa réponse du 16 mai 2011.</w:t>
      </w:r>
    </w:p>
    <w:p>
      <w:r>
        <w:rPr>
          <w:b/>
        </w:rPr>
        <w:t>E. 39</w:t>
      </w:r>
    </w:p>
    <w:p>
      <w:r>
        <w:t>Copie de cette écriture a été adressée au recourant le 24 juin 2011.</w:t>
      </w:r>
    </w:p>
    <w:p>
      <w:r>
        <w:rPr>
          <w:b/>
        </w:rPr>
        <w:t>E. 40</w:t>
      </w:r>
    </w:p>
    <w:p>
      <w:r>
        <w:t>Sur ce, la cause a été gardée à juger. EN DROIT</w:t>
      </w:r>
    </w:p>
    <w:p>
      <w:r>
        <w:t>A/479/2011 - 12/17 - 1.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est entrée en vigueur le 1er janvier 2003, est applicable.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3. Le recours ayant été interjeté dans les forme et délai prévus par la loi, il est recevable (art. 56 ss LPGA). 4. Le litige porte sur le droit du recourant à une rente d’invalidité, singulièrement sur son degré d’invalidité et le début du droit à une rente. 5.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w:t>
      </w:r>
    </w:p>
    <w:p>
      <w:r>
        <w:t>A/479/2011 - 13/17 -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w:t>
      </w:r>
    </w:p>
    <w:p>
      <w:r>
        <w:t>A/479/2011 - 14/17 -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7. En l'espèce, l'expertise réalisée par les Drs W___________ et AA__________ satisfait aux réquisits jurisprudentiels développés ci-dessus. Elle a en effet été établie en parfaite connaissance du dossier médical du recourant, contient une anamnèse, repose sur l'examen clinique de l'assuré dont elle relate les plaintes subjectives, et ses conclusions sont claires et motivées. Les appréciations différentes du Dr AB__________ ne permettent pas de remettre en cause ces conclusions. On notera d'ailleurs que ce médecin admet lui-même que l'expertise doit se voir reconnaître une pleine valeur probante. On comprend dès lors mal pour quels motifs il s'en écarte. Il considère que les conclusions de l'expertise ne seraient pas valables au motif que celle-ci aurait été réalisée en période de crise et sans traitement tombe à faux. Or, en premier lieu, il sied de souligner que cette appréciation du Dr AB__________ est contestée par la Dresse H__________, dont les explications du 20 octobre 2010 sont parfaitement convaincantes, ainsi que par le Dr K__________ qui a souligné l'adéquation du traitement médicamenteux. De plus, même à supposer que tel ait été le cas, la maladie de Crohn dont est atteint le recourant semble évoluer par phases lors desquelles les symptômes sont plus ou moins exacerbés, ce qui a d'ailleurs conduit le Tribunal cantonal des assurances sociales à renvoyer le dossier à l'intimé pour expertise dans son arrêt du 9 juin 2009. Dans ces conditions, il ne serait pas admissible de calculer le degré d'invalidité en se fondant uniquement sur la capacité de travail qu'a présentée le recourant lors d'une phase d'accalmie de sa maladie. Il y a lieu d'ajouter qu'une éventuelle amélioration de l'état de santé du recourant pourrait être prise en compte dans le cadre d'une éventuelle révision. On peine en outre à comprendre que le Dr AB__________ nie le caractère durable de l'atteinte, alors que le SMR, soit le Dr T__________, a admis une incapacité de travail de 50 % en se fondant essentiellement sur cette pathologie dans ses avis des 30 octobre 2008, 28 janvier et 13 février 2009, et que cette maladie est chronique, comme le rappelle le Dr K__________ dans son rapport du 9 décembre 2010. Par surabondance, on relèvera que les experts et des médecins traitants sont unanimes sur l'incapacité de travail totale du recourant. L'opinion du Dr AB__________ étant</w:t>
      </w:r>
    </w:p>
    <w:p>
      <w:r>
        <w:t>A/479/2011 - 15/17 - isolée et ce médecin ne disposant pas d'une formation spécialisée en gastro- entérologie, contrairement aux autres praticiens et experts, on ne peut s'y rallier. Compte tenu de ce qui précède, la Cour de céans ne s'écartera pas des conclusions de l'expertise et admettra que le recourant est totalement incapable de travailler depuis janvier 2007. En effet, si les experts du CHUV se sont contentés d'indiquer que le recourant subit une incapacité de travail "dès 2007", il faut comprendre que cette incapacité a débuté en janvier 2007 et perduré par la suite. C'est d'ailleurs à la même conclusion que l'intimé est parvenu. 8. Le recourant conclut à l'octroi d'une rente dès le 1er juillet 2006, soit une année avant le dépôt de sa demande de rente, arguant du fait qu'il souffrait de la maladie de Crohn avant qu'elle ne soit découverte. A cet égard, il convient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consid. 5a). S'il est probablement fréquent qu'un temps de latence de quelques semaines ou quelques mois existe entre l'apparition d'une maladie et le moment auquel elle est diagnostiquée, cela ne suffit pas en l'espèce à démontrer au degré de la vraisemblance prépondérante que le recourant était déjà atteint de la maladie de Crohn en juillet 2006. On rappelle en effet que la Dresse H__________ a fait état de cette pathologie pour la première fois dans son rapport du mois de septembre 2007, en indiquant qu'elle existait depuis mars de la même année, et qu'aucun des nombreux médecins consultés auparavant par le recourant ne l'a diagnostiquée. Par ailleurs, ce n'est pas la survenance d'une maladie en tant que telle qui fonde un droit à une rente d'invalidité, mais bien ses répercussions sur la capacité de travail. A cet égard, les experts sont clairs, et considèrent que c'est depuis 2007 que le recourant n'est plus à même d'exercer une activité. En l’espèce, la demande a été déposée le 2 juillet 2007. Jusqu'au 31 décembre 2007, l'invalidité était réputée survenue au moment où le droit à la rente prenait naissance, conformément à l’art. 29 al. 1er aLAI, soit dès que l’assuré présentait une incapacité de gain durable de 40% au moins (variante A) ou dès qu’il avait présenté, en</w:t>
      </w:r>
    </w:p>
    <w:p>
      <w:r>
        <w:t>A/479/2011 - 16/17 - moyenne, une incapacité de travail de 40% au moins pendant une année sans interruption notable (variante B), mais au plus tôt le premier jour du mois qui suit le dix-huitième anniversaire de l’assuré. La variante A présupposait une invalidité permanente, soit une atteinte à la santé en bonne partie stabilisée, et essentiellement irréversible (Jean-Louis DUC; L'assurance-invalidité, in: Schweizerisches Bundesverwaltungsrecht [SBVR]; ATF 111 V 21, consid. 2a). Il est patent que dans le cas du recourant, la maladie de Crohn ne constituait pas une invalidité permanente et stabilisée lors de son diagnostic en 2007, de sorte que c'est la variante B, prévoyant une période de carence d'une année, qui est applicable à son cas. Partant, c'est bien après un délai d'une année, soit dès le 1er janvier 2008, que naît le droit à la rente du recourant. 9. Eu égard à ce qui précède, le recours doit être partiellement admis en ce sens que le recourant a droit à une rente entière depuis le 1er janvier 2008. Le recourant, qui obtient partiellement gain de cause, à droit à une indemnité de dépens qu'il convient de fixer à 2'000 fr (art. 61 let. g LPGA). Elle sera versée par l'intimé, qui supporte également l'émolument de justice de 1'000 fr. (art. 69 al. 1bis LAI).</w:t>
      </w:r>
    </w:p>
    <w:p>
      <w:r>
        <w:t>A/479/2011 - 17/17 -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