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ATAS/760/2014 vom 24. Juni 2014</w:t>
      </w:r>
    </w:p>
    <w:p>
      <w:r>
        <w:t>GE Cour de justice, 2014-06-24, FR</w:t>
      </w:r>
    </w:p>
    <w:p>
      <w:r>
        <w:rPr>
          <w:b/>
        </w:rPr>
        <w:t xml:space="preserve">Quelle: </w:t>
      </w:r>
      <w:r>
        <w:t>https://mcp.opencaselaw.ch/entscheid/ge_gerichte_ATAS_760_2014</w:t>
      </w:r>
    </w:p>
    <w:p>
      <w:r>
        <w:t>FR: GE_GERICHTE ATAS/760/2014 du 24 juin 2014</w:t>
      </w:r>
    </w:p>
    <w:p>
      <w:r>
        <w:t>IT: GE_GERICHTE ATAS/760/2014 del 24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Le litige porte uniquement sur les conditions d’une remise de l’obligation de restituer les prestations complémentaires, et singulièrement sur celle de la bonne foi.</w:t>
      </w:r>
    </w:p>
    <w:p>
      <w:r>
        <w:rPr>
          <w:b/>
        </w:rPr>
        <w:t>E. 5</w:t>
      </w:r>
    </w:p>
    <w:p>
      <w:r>
        <w:t>a) Selon l’art. 25 LPGA, les prestations indûment touchées doivent être restituées (al. 1). La restitution ne peut pas être exigée lorsque l’intéressé était de bonne foi et qu’elle le mettrait dans une situation difficile (al. 2). Selon l’art. 4 de l’ordonnance</w:t>
      </w:r>
    </w:p>
    <w:p>
      <w:r>
        <w:t>A/1039/2014 - 6/9 -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w:t>
      </w:r>
    </w:p>
    <w:p>
      <w:r>
        <w:t>A/1039/2014 - 7/9 -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w:t>
      </w:r>
    </w:p>
    <w:p>
      <w:r>
        <w:rPr>
          <w:b/>
        </w:rPr>
        <w:t>E. 6</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Dans le cas d'espèce, lorsque l’assuré a sollicité des prestations complémentaires en décembre 2008, il a expressément précisé qu’il n’était propriétaire d’aucun bien immobilier. A l’époque, le formulaire ne précisait pas qu’il s’agissait de biens immobiliers en Suisse ou à l’étranger, mais en cas de doute, l’assuré devait se renseigner auprès du SPC. Ensuite, et malgré l’envoi des « communications importantes », l’assuré n’a jamais informé le SPC du fait que le bien immobilier dont il était propriétaire n’était pas pris en compte, ni son produit réel ou hypothétique. De même, lors de la révision entreprise en mars 2013, l’assuré a expressément déclaré ne posséder aucun bien immobilier en Suisse et à l’étranger, le 8 avril 2013. Ce n’est que le 3 juillet 2013, sur requête expresse du SPC, que l’assuré a produit un « certificat d’investigation » indiquant qu’un bien foncier était inscrit à son nom au registre de la propriété foncière et que, depuis le 22 février 2006, il était propriétaire de deux-cent trente parts d’un immeuble composé de six- cent nonante parts situé à Hammam-Lif puis, le 8 juillet 2013, l’expertise fixant la valeur de sa part, soit une maison composée de deux chambres à coucher, un salon/salle à manger, un couloir, une cuisine, une salle d’eau et une véranda couverte avec un petit jardin. Ainsi, en ne communiquant pas l’existence de ce bien immobilier au SPC, ni en 2008, ni ultérieurement, l’assuré a commis une négligence grave qui exclut de retenir qu’il était de bonne foi. Au surplus, le fait qu’il ait donné une procuration à sa sœur, afin de le représenter dans la partage de l'immeuble appartenant à leur mère décédée en 2005, ne rend pas vraisemblable le fait qu’il ignorait être propriétaire d’un bien immobilier ou en tout cas qu'il allait en hériter suite au décès de sa mère en 2005, au contraire. A cet égard, l'attestation de sa sœur n'est pas convaincante. Elle n'indique pas pourquoi elle aurait attendu 2013 pour informer son frère de ce qu'il avait hérité de la maison familiale, en 2006 déjà, selon les pièces produites. Au surplus, selon le certificat de communauté des biens</w:t>
      </w:r>
    </w:p>
    <w:p>
      <w:r>
        <w:t>A/1039/2014 - 8/9 - produits, l’assuré est domicilié à l’adresse de l’immeuble en question. De même, selon la demande de prestations initiale du 19 décembre 2008 et le formulaire de révision de mars 2013, c’est également à cette adresse que son épouse et ses deux enfants aînés sont domiciliés, voire ses deux enfants plus jeunes lorsque ces derniers étudiaient en Tunisie, de sorte qu’il est établi au degré de la vraisemblance prépondérante que la famille de l’assuré habite dans l’immeuble propriété de l’assuré, qui ne peut en ignorer le fait qu'il en est propriétaire depuis 2006. Lorsque la condition de la bonne foi n’est pas réalisée, il n’est pas nécessaire d’examiner celle de la situation financière difficile de l’assuré, les deux conditions étant cumulatives. C’est donc à juste titre que le SPC a refusé d’accorder la remise de l’obligation de rembourser les prestations trop perçues à l’assuré.</w:t>
      </w:r>
    </w:p>
    <w:p>
      <w:r>
        <w:rPr>
          <w:b/>
        </w:rPr>
        <w:t>E. 8</w:t>
      </w:r>
    </w:p>
    <w:p>
      <w:r>
        <w:t>Le recours est donc rejeté et la procédure est gratuite.</w:t>
      </w:r>
    </w:p>
    <w:p>
      <w:r>
        <w:t>A/1039/2014 - 9/9 -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