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ATAS/760/2011 vom 23. August 2011</w:t>
      </w:r>
    </w:p>
    <w:p>
      <w:r>
        <w:t>GE Cour de justice, 2011-08-23, FR</w:t>
      </w:r>
    </w:p>
    <w:p>
      <w:r>
        <w:rPr>
          <w:b/>
        </w:rPr>
        <w:t xml:space="preserve">Quelle: </w:t>
      </w:r>
      <w:r>
        <w:t>https://mcp.opencaselaw.ch/entscheid/ge_gerichte_ATAS_760_2011</w:t>
      </w:r>
    </w:p>
    <w:p>
      <w:r>
        <w:t>FR: GE_GERICHTE ATAS/760/2011 du 23 août 2011</w:t>
      </w:r>
    </w:p>
    <w:p>
      <w:r>
        <w:t>IT: GE_GERICHTE ATAS/760/2011 del 23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Selon l’art. 69 al. 1 let. a LAI,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il est recevable (art. 56 ss LPGA).</w:t>
      </w:r>
    </w:p>
    <w:p>
      <w:r>
        <w:rPr>
          <w:b/>
        </w:rPr>
        <w:t>E. 4</w:t>
      </w:r>
    </w:p>
    <w:p>
      <w:r>
        <w:t>Le litige porte sur le maintien du recourant à des prestations de l'assurance- invalidité, plus particulièrement sur l’existence d’un motif de révision ou de reconsidération.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w:t>
      </w:r>
    </w:p>
    <w:p>
      <w:r>
        <w:t>A/172/2011 - 9/17 - soit exprimée à son sujet dans un acte de procédure au moins (ATF 130 V 501, consid. 1.2, ATF 122 V 36 consid. 2a et les références citées). En l’espèce, si le recourant conclut à l’octroi de mesures professionnelles, l’intimé n’a pas rendu de décision à ce sujet et le droit du recourant à de telles prestations ne peut dès lors être examiné dans le cadre du présent recours. Il appartient le cas échéant au recourant de solliciter une décision sur son droit à de telles prestations.</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w:t>
      </w:r>
    </w:p>
    <w:p>
      <w:r>
        <w:t>A/172/2011 - 10/17 -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w:t>
      </w:r>
    </w:p>
    <w:p>
      <w:r>
        <w:t>A/172/2011 - 11/17 -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w:t>
      </w:r>
    </w:p>
    <w:p>
      <w:r>
        <w:t>A/172/2011 - 12/17 -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A/172/2011 - 13/17 - qui constitue le point de départ temporel pour l’examen d’une modification du degré d’invalidité lors d’une nouvelle révision de la rente (ATF 133 V 108, consid. 5.4; ATF 130 V 343, consid. 3.5.2).</w:t>
      </w:r>
    </w:p>
    <w:p>
      <w:r>
        <w:rPr>
          <w:b/>
        </w:rPr>
        <w:t>E. 9</w:t>
      </w:r>
    </w:p>
    <w:p>
      <w:r>
        <w:t>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w:t>
      </w:r>
    </w:p>
    <w:p>
      <w:r>
        <w:t>A/172/2011 - 14/17 - au moment où cette décision a été rendue, compte tenu de la pratique en vigueur à l'époque (ATF 9C_74/2008 du 17 juillet 2008, consid. 2; ATF 125 V 383, consid. 3). C'est la décision initiale d'octroi de rente qui fait l'objet de la reconsidération, même si elle a été confirmée lors de procédures de révision du droit à la rente (ATF 9C_215/2007 du 2 juillet 2007, consid. 3.2; ATF I 859/05 du</w:t>
      </w:r>
    </w:p>
    <w:p>
      <w:r>
        <w:rPr>
          <w:b/>
        </w:rPr>
        <w:t>E. 10</w:t>
      </w:r>
    </w:p>
    <w:p>
      <w:r>
        <w:t>Il convient en premier lieu de déterminer s’il existe en l’espèce un motif de reconsidération. L’intimé invoque le caractère erroné des conclusions du Dr F__________, expert psychiatre, sur la capacité de travail du recourant lors de l’expertise de décembre 2006, et allègue que ce dernier disposait déjà à cette époque d’une pleine capacité de gain, compte tenu de la disparition des symptômes dépressifs. On ne saurait adhérer à ce point de vue. En effet, l’expertise du Dr F__________ satisfait aux conditions dégagées par le Tribunal fédéral pour se voir reconnaître une pleine valeur probante. Elle se fonde sur l’étude de son dossier médical, un entretien et des observations cliniques, et ses conclusions sont claires. Si l’incapacité de travail retenue par l’expert peut paraître généreuse, elle ne se révèle pas pour autant manifestement inexacte, de sorte qu'une des conditions de la reconsidération fait défaut. De plus, l’avis du SMR du 21 février 2011 se borne à substituer son appréciation de l’incidence des éléments cliniques observés sur l’état de santé du recourant à l’évaluation de l’expert. Or, conformément à la jurisprudence exposée plus haut, le simple fait qu’une appréciation différente des faits à la base de la décision sujette à reconsidération soit possible n’est pas suffisant pour ouvrir cette voie.</w:t>
      </w:r>
    </w:p>
    <w:p>
      <w:r>
        <w:rPr>
          <w:b/>
        </w:rPr>
        <w:t>E. 11</w:t>
      </w:r>
    </w:p>
    <w:p>
      <w:r>
        <w:t>L’intimé invoque également une amélioration de l’état de santé du recourant. Il retient une capacité de travail entière, s'écartant ainsi des conclusions des experts qui ont reconnu une incapacité de travail de 40 %. Il sied donc de déterminer quelle est la capacité de gain de l'assuré, et si celle-ci a subi des modifications entraînant une révision du droit à la rente. a) En ce qui concerne la capacité de gain, il y a lieu d'admettre les conclusions de l’expertise réalisée par les Drs J__________, K__________ et L_________. Conformément à la jurisprudence, ce rapport doit en effet se voir reconnaître une pleine valeur probante, puisqu’il se fonde sur une parfaite connaissance du dossier et de l’historique médicale et tient compte des plaintes du recourant. Les experts ont en outre procédé à des examens cliniques et ont pris le soin de justifier leurs conclusions. S’agissant en particulier de l’évaluation par l’expert psychiatre de la capacité de gain du recourant, il n’y a pas lieu de la remettre en cause. Le Dr L_________ a en effet justifié la capacité de travail réduite par la chronicisation de la symptomatologie dépressive, et clairement exposé les facteurs limitant la</w:t>
      </w:r>
    </w:p>
    <w:p>
      <w:r>
        <w:t>A/172/2011 - 15/17 - capacité de travail du recourant, puisqu'il a relevé que ce dernier souffrait d’un ralentissement psychomoteur, d'asthénie, d’une diminution de sa résistance et de difficultés d'adaptation. Le SMR fait valoir que les conclusions et diagnostics des experts ne seraient pas conformes aux ouvrages de référence, et donc erronés. A cet égard, la Cour de céans observe que le système de classification internationale des maladies CIM-10 décrit les épisodes dépressifs (F 32) comme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Un épisode dépressif léger (F 32.0) suppose que deux ou trois des symptômes cités plus haut sont habituellement présents. Dans les épisodes dépressifs moyens (F 32.1), au moins quatre de ces symptômes sont habituellement présents et le sujet éprouve des difficultés considérables à poursuivre ses activités usuelles. Le diagnostic d’épisode dépressif sévère sans symptômes psychotiques (F 32.2) implique que plusieurs des symptômes dépressifs mentionnés soient présents. En l'occurrence, l'expert psychiatre a recensé plusieurs de ces critères. Le recourant a en effet décrit un malaise permanent, un isolement, une absence d'intérêts et des angoisses. De plus, un ralentissement psychomoteur, une thymie abaissée, une fatigue et une diminution de la résistance ont été objectivement constatés par le Dr L_________. Ainsi, si l'on se réfère aux critères diagnostiques établis par la CIM-10, le recourant présente un nombre de symptômes dépassant ceux qui sont habituellement observés dans le cadre d'un trouble dépressif léger. L'argument de l'intimé, selon lequel les critères établis par la CIM-10 ne permettraient pas en l’espèce de conclure à l’existence d’un trouble dépressif léger, tombe ainsi à faux. En outre, on notera que la reconnaissance de l'existence d'une atteinte à la santé psychique suppose d'abord la présence d'un diagnostic émanant d'un expert psychiatre s'appuyant lege artis sur les critères d'un système de classification reconnu (ATF I 784/04 du 20 juin 2005, consid. 2.2). Or, le Dr M_________ ne dispose pas d’une formation spécialisée en psychiatrie, contrairement au Dr L_________. Dans ces conditions, en l'absence de tout autre élément permettant de</w:t>
      </w:r>
    </w:p>
    <w:p>
      <w:r>
        <w:t>A/172/2011 - 16/17 - remettre en cause les diagnostics et conclusions de l'expert, ces derniers doivent l'emporter sur l'avis du médecin du SMR. Eu égard à ce qui précède, on retiendra que le recourant dispose d'une capacité de travail de 60 %. b) Par rapport à l’expertise réalisée en 2007, la capacité de gain du recourant a augmenté de 10 %. Dans le domaine de l’assurance-invalidité, même une modification peu importante de l’état de fait déterminant peut donner lieu à une révision de la rente, dans la mesure où elle justifie le passage à un échelon de rente différent (ATF 133 V 545, consid. 6.3). Il convient dès lors de déterminer l’incidence de l’augmentation de la capacité de gain du recourant sur son droit à une rente d’invalidité. S'agissant du revenu avant invalidité, il n'est pas possible de se référer au dernier revenu réalisé. En effet, l'entreprise qui employait le recourant avant la survenance de son atteinte à la santé a définitivement fermé, de sorte que la présomption selon laquelle le recourant aurait continué d'y travailler sans invalidité est ici renversée. Il y a donc lieu de se référer aux données statistiques pour déterminer le revenu sans invalidité, en se référant au salaire que le recourant pourrait réaliser dans des activités simples et répétitives, soit un revenu mensuel de 4'806 fr. (57'672 fr. annuels) pour 40 heures de travail (ESS 2008, TA1, ligne Total niveau 1). Compte tenu de l'indexation jusqu'en 2010, date de la décision litigieuse, on obtient un revenu de 58'883 fr. Extrapolé à la durée hebdomadaire moyenne de travail de 41.6 heures en 2010 (Statistique DNT de l'Office fédéral de la statistique), le revenu sans invalidité à prendre en compte est de 61'238 fr. en 2010. Quant au revenu avec invalidité, il doit être déterminé en se référant des mêmes données statistiques, en tenant compte de la capacité de travail de 60 %. Il est ainsi de 36'743 fr. (61'238 fr. x 60 %), avant abattement. L'OAI du Tessin a fixé l'ampleur de cet abattement à</w:t>
      </w:r>
    </w:p>
    <w:p>
      <w:r>
        <w:rPr>
          <w:b/>
        </w:rPr>
        <w:t>E. 15</w:t>
      </w:r>
    </w:p>
    <w:p>
      <w:r>
        <w:t>%. Il n'existe en l'espèce pas de motif de s'écarter de cette réduction, qui relève du pouvoir d'appréciation de l'autorité inférieure. Partant, le revenu d'invalide est de 31'231 fr. (36'743 fr. - 15 %). Le taux d'invalidité qui résulte de la comparaison des revenus est ainsi de 49 %, ce qui correspond à un quart de rente. 12. Compte tenu de ce qui précède, le recourant conserve son droit à un quart de rente et le recours sera donc admis. Le recourant, qui obtient gain de cause, à droit à une indemnité de dépens qu'il convient de fixer à 2'500 fr (art. 61 let. g LPGA). Elle sera versée par l'intimé, qui supporte également l'émolument de justice de 1'000 fr. (art. 69 al. 1bis LAI).</w:t>
      </w:r>
    </w:p>
    <w:p>
      <w:r>
        <w:t>A/172/2011 - 17/17 -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