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ATAS/75/2026 vom 3. Februar 2026</w:t>
      </w:r>
    </w:p>
    <w:p>
      <w:r>
        <w:t>GE Cour de justice, 2026-02-03, FR</w:t>
      </w:r>
    </w:p>
    <w:p>
      <w:r>
        <w:rPr>
          <w:b/>
        </w:rPr>
        <w:t xml:space="preserve">Quelle: </w:t>
      </w:r>
      <w:r>
        <w:t>https://mcp.opencaselaw.ch/entscheid/ge_gerichte_ATAS_75_2026</w:t>
      </w:r>
    </w:p>
    <w:p>
      <w:r>
        <w:t>FR: GE_GERICHTE ATAS/75/2026 du 3 février 2026</w:t>
      </w:r>
    </w:p>
    <w:p>
      <w:r>
        <w:t>IT: GE_GERICHTE ATAS/75/2026 del 3 febbraio 2026</w:t>
      </w:r>
    </w:p>
    <w:p>
      <w:pPr>
        <w:pStyle w:val="Heading2"/>
      </w:pPr>
      <w:r>
        <w:t>Erwägungen</w:t>
      </w:r>
    </w:p>
    <w:p>
      <w:r>
        <w:rPr>
          <w:b/>
        </w:rPr>
        <w:t>E. 2</w:t>
      </w:r>
    </w:p>
    <w:p>
      <w:r>
        <w:t>Le litige porte sur la conformité au droit de la décision de l'intimée ordonnant la réparation, au sens de l’art. 52 LAVS, du préjudice subi en raison du défaut de paiement, par la société, de cotisations sociales dues pour les années 2019 et 2020, ainsi que des frais d'administration, de sommations et de poursuites et des intérêts moratoires y relatifs. À ce stade, bien que les parties ne l’ait pas relevé, la Cour de céans précisera avoir rectifié les années mentionnées dans la décision sur opposition, celles-ci résultant manifestement d’une erreur de plume, toute comme la mention d’une succursale sise sur le canton de Vaud, compte tenu de la décision du 15 avril 2025 et du décompte y annexé.</w:t>
      </w:r>
    </w:p>
    <w:p>
      <w:r>
        <w:rPr>
          <w:b/>
        </w:rPr>
        <w:t>E. 3</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w:t>
      </w:r>
    </w:p>
    <w:p>
      <w:r>
        <w:rPr>
          <w:b/>
        </w:rPr>
        <w:t>E. 4.1</w:t>
      </w:r>
    </w:p>
    <w:p>
      <w:r>
        <w:t>À titre liminaire, il convient d'examiner si la prétention de l'intimée est prescrite.</w:t>
      </w:r>
    </w:p>
    <w:p>
      <w:r>
        <w:rPr>
          <w:b/>
        </w:rPr>
        <w:t>E. 4.2</w:t>
      </w:r>
    </w:p>
    <w:p>
      <w:r>
        <w:t>Selon l’art. 52 al. 3 LAVS, dans sa teneur jusqu'au 31 décembre 2019, le droit à réparation est prescrit deux ans après que la caisse de compensation compétente a eu connaissance du dommage et, dans tous les cas, cinq ans après la survenance du dommage. Ces délais peuvent être interrompus. L'employeur peut renoncer à</w:t>
      </w:r>
    </w:p>
    <w:p>
      <w:r>
        <w:t>A/1971/2025 - 6/19 - invoquer la prescription. Si le droit pénal prévoit un délai de prescription plus long, celui-ci est applicable. 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4.3</w:t>
      </w:r>
    </w:p>
    <w:p>
      <w:r>
        <w:t>9C_289/2009 du 19 mai 2010 consid. 6.2). Il y a négligence grave d’un organe lorsqu’une société continue de verser des salaires sur lesquels ses ressources financières ne permettent pas de prélever les cotisations paritaires, et fait supporter le risque inhérent au financement d'une entreprise à l'assurance sociale (arrêt du Tribunal fédéral 9C_701/2018 du 27 novembre 2018 consid. 6.2). Si les ressources financières d’une entreprise ne lui permettent pas de payer les cotisations paritaires dans leur intégralité, ses organes ne doivent verser que les salaires pour lesquels les créances de cotisations peuvent être couvertes (arrêt du Tribunal fédéral 9C_338/2007 du 21 avril 2008 consid. 3.2).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Die Haftung des Arbeitgebers und seiner Organe nach Art. 52 AHVG, 2008, n. 563 ; arrêts du Tribunal fédéral 9C_446/2014 du 2 septembre 2014 consid. 4.2 et 9C_289/2009 du 19 mai 2010 consid. 6.2). 6.3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w:t>
      </w:r>
    </w:p>
    <w:p>
      <w:r>
        <w:t>A/1971/2025 - 12/19 -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et H 74/05 du 8 novembre 2005 consid. 4). 7. En l'espèce, l'intimée a retenu qu'en sa qualité d'organe de la société, il incombait au recourant de veiller personnellement au paiement des cotisations et contributions paritaires courantes et arriérées et qu'en ne mettant en œuvre aucune mesure auprès d'elle pour tenter de s'acquitter des cotisations sociales impayées, il avait commis une négligence grave, étant relevé qu’il s’était désintéressé de ses obligations d’administrateur en déléguant ses fonctions à un tiers. Le recourant invoque l’absence de rémunération pour sa fonction d’administrateur, fonction acceptée dans un contexte de crise économique résultant de la pandémie. Il faisait valoir qu’il n’avait ni les compétences comptables, ni un contrôle opérationnel directe sur les obligations déclaratives et fiscales. Il avait exercé ses fonctions avec diligence et toutes les mesures avaient été prises pour la bonne marche de la société. Il ne pouvait pas lui être reproché des décisions prises de manière collégiale ou sur délégation. Il relevait par ailleurs le défaut d’alerte ou de communication proactive de la caisse. Le montant réclamé était excessif au vu de la précarité de sa situation financière. 8. La Cour de céans estime qu’il ne peut pas être reconnu que le recourant a exercé ses fonctions d’administrateur avec diligence. En effet, il apparaît au vu des éléments au dossier et de ses allégations, qu’il n’a pas exercé la moindre surveillance, n’ayant même pas eu connaissance des dettes sociales. Il n'a pas plus pris toutes les mesures raisonnables pour assurer le paiement des charges sociales, les organes d'une société incapable de verser les cotisations paritaires dans leur intégralité, soit en l'occurrence le recourant, ne devant verser que les salaires pour lesquels les créances de cotisations peuvent être couvertes. La procuration du 27 janvier 2020 démontre qu’il a en outre délégué ses fonctions d’administrateur à un tiers, démontrant sa passivité et son désintéressement de la société. Le manque de compétence ou de curiosité ne constituent pas des motifs permettant d’atténuer la responsabilité de l’organe de la société (Michel VALTERIO, Commentaire thématique, droit de l’assurance vieillesse et survivants (AVS) et de l’assurance- invalidité (AI) 2011, p. 656 et 657 N. 2428 et 2431). La Cour de céans relèvera également que la caisse a notamment notifié la facture du 26 février 2020 alertant dès lors que les cotisations sociales n’avaient pas été totalement réglées pour l’année 2019, sans que le recourant ne prenne contact</w:t>
      </w:r>
    </w:p>
    <w:p>
      <w:r>
        <w:t>A/1971/2025 - 13/19 - pour régulariser la situation ou fasse en sorte que les cotisations dues soient réglées. Le principe de la confiance ayant pour but l’interprétation des déclarations des parties en particulier dans le cadre de contrats (par exemple : ATF 140 V 145 consid. 3.3 et les références), il n’est pas applicable en l’espèce. La non-rétribution alléguée par le recourant, laquelle n’est étayée par aucun élément, ne modifie pas la responsabilité du recourant, ce dernier ayant accepté d’être administrateur de la société et d’être inscrit à ce titre, ce avec les obligations que cette qualité implique. Au regard de ce qui précède, c'est à juste titre que l'intimée a retenu que le recourant avait commis une négligence devant, sous l'angle de l'art. 52 LAVS, être qualifiée de grave, les manquements du recourant relatifs au défaut de paiement des cotisations paritaires étant par ailleurs en rapport de causalité naturelle et adéquate avec le dommage subi par l’intimée. 9.</w:t>
      </w:r>
    </w:p>
    <w:p>
      <w:r>
        <w:t>9.1 Il reste à examiner le montant du dommage subi par l'intimée. 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loi instituant une assurance en cas de maternité et d'adoption du 21 avril 2005 (LAMat - J 5 07 ; dont l'art. 11A renvoie à l'art. 52 LAVS). Le dommage comprend également les intérêts moratoires dus en vertu de l'art. 26 al. 1 LPGA en lien avec l'art. 41bis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 9.2 Selon la jurisprudence, les créances de cotisations restées impayées ne font plus l'objet d'un examen quant à leur étendue dans le cadre du procès en</w:t>
      </w:r>
    </w:p>
    <w:p>
      <w:r>
        <w:t>A/1971/2025 - 14/19 -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 9.3 S'agissant des cotisations dues en vertu de la LAMat, par arrêt du 30 janvier 2020, la chambre de céans a jugé qu’il n’existait pas de base légale suffisante pour rechercher les employeurs ou leurs organes pour le dommage résultant du défaut de paiement des cotisations précitées (ATAS/79/2020 du 30 janvier 2020 consid. 14). Le 1er février 2023, l'art. 11A LAMat est entré en vigueur.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(Milena PIREK, op cit., p. 137-138). Parce que la période de validité temporelle d’une loi est délimitée par sa date d’entrée en vigueur et celle de son abrogation, une loi ne peut en principe</w:t>
      </w:r>
    </w:p>
    <w:p>
      <w:r>
        <w:t>A/1971/2025 - 15/19 - concerner des faits antérieurs à son entrée en vigueur. C’est ce que prescrit le principe de non-rétroactivité des lois (Milena PIREK, op cit., p. 138). 9.4 En l'espèce, le recourant juge excessif le montant du dommage réclamé vu la précarité de sa situation financière. En dernier lieu, il a contesté la prise en compte des contributions de la petite enfance ainsi que des intérêts, les différents frais et la redistribution taxe CO2. Compte tenu des éléments précités, la situation financière du recourant est sans pertinence pour fixer le dommage de la caisse. Cependant, dans la mesure où la demande en réparation du dommage a été rendue par l'intimée le 15 avril 2025, soit postérieurement à l'entrée en vigueur de l'art. 11A LAMat, se pose la question de l'application de cette disposition dans le cas d'espèce. La demande en réparation du dommage susvisée avait pour objet le paiement des cotisations salariales impayées des années 2019 et 2020,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Il en découle que l'intimée ne pouvait pas réclamer au recourant le montant correspondant aux cotisations dues en vertu de la LAMat, ainsi que les intérêts moratoires et les frais y relatifs. 9.5 L’intimée a également inclus dans son dommage la contribution patronale au financement de l’exploitation des structures d’accueil préscolaire à prestations élargies et des structures de coordination de l’accueil familial due en vertu de la loi sur l’accueil préscolaire du 12 septembre 2019 (LAPr – J 6 28). Le principe de la légalité, consacré à l'art. 5 al. 1 de la Constitution (Cst - RS 101), signifie que le droit est la base et la limite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(ATF 135 I 130 consid. 7.2). Ce principe est applicable par analogie aux autres prestations pécuniaires (ATF 134 I 179 consid. 6.1). En d'autres termes, l'exigence d'une base légale ne concerne pas que le rang de la norme - à savoir celui d'une loi formelle en cas de restrictions graves - mais s'étend à son contenu, qui doit être suffisamment clair et précis (arrêt du Tribunal fédéral 1C_60/2018 du 25 octobre 2018 consid. 3.1). Le principe de la légalité exige, dans l'intérêt de la sécurité du droit et de l'égalité de traitement, une</w:t>
      </w:r>
    </w:p>
    <w:p>
      <w:r>
        <w:t>A/1971/2025 - 16/19 - précision suffisante et appropriée des règles de droit à appliquer. Toutefois, cette exigence ne peut être comprise en termes absolus et permet au législateur d'utiliser des termes généraux et relativement vagues dont l'interprétation et l'application doivent être laissées à la pratique. Le degré de précision requis ne peut être déterminé dans l'abstrait mais dépend, entre autres, de la diversité des états de fait à régler, de la complexité et de la prévisibilité de la décision à rendre dans le cas d'espèce, des destinataires de la norme, et de la gravité de l'atteinte aux droits constitutionnels (ATF 138 I 378 consid. 7.2). En matière de contributions publiques, les conditions de perception de la contribution doivent être énoncées de manière suffisamment précise pour empêcher l'autorité d'application de disposer d'une marge de manœuvre excessive et permettre aux administrés d'en apprécier les conséquences financières éventuelles et d'adapter leur comportement en connaissance de cause (ATF 133 V 402 consid. 3.2). En cas de renvoi d'un texte législatif à une autre réglementation, il est possible qu'une telle référence conduise à une restriction d'une liberté fondamentale, telle que, par exemple, la liberté économique. Il convient dès lors de tenir compte du principe de la légalité au moment d'introduire un renvoi (Guide de législation 2019 édité par l'Office fédéral de la justice, n. 742). Selon la doctrine, une base légale doit être prévue par le droit cantonal pour rechercher l'employeur responsable du dommage lié au non-paiement des cotisations, et un renvoi général aux dispositions de la LAVS applicables à titre supplétif n'est pas suffisant (Ulrich KIESER, Streifzug durch das Familienzulagenrecht in RSAS 1995 pp. 281-283). La jurisprudence a également eu l'occasion de souligner que l'art. 52 LAVS ne concerne pas les cotisations d'allocations familiales de droit cantonal en l'absence de disposition analogue, ni les cotisations dues à l'institution de prévoyance. S'il existe incontestablement un intérêt à réclamer la réparation du dommage relatif aux cotisations en matière d'allocations familiales, il n'appartient pas aux tribunaux d'instituer des responsabilités pour lesquelles il n'existe pas de base légale (SVR 1997 AHV N° 128 consid. 5). En revanche, elle a considéré qu'un renvoi général aux normes de la LAVS était un renvoi dynamique (sur cette notion, se référant le plus souvent à des normes émanant d'organismes privés, cf. ATF 136 I 316 consid. 2.4.1), et qu'il n'était pas arbitraire en cas de renvoi par la législation cantonale aux dispositions de la LAVS, déclarées applicables par analogie, de retenir que la responsabilité prévue par l'art. 52 LAVS portait également sur les cotisations relatives aux allocations familiales dues en vertu du droit cantonal (par exemple arrêts du Tribunal fédéral 9C_720/2008 du 7 décembre 2009 consid. 5.5.3 dans une cause zurichoise, et 2P.284/1998 du 21 février 2001 consid. 4b/bb rendu dans une cause nidwaldienne). Elle a aussi admis que le renvoi de la LACI aux dispositions de la LAVS suffisait à fonder la responsabilité de l'employeur au sens de l'art. 52 LAVS pour l'omission de s'acquitter des contributions dues en vertu de cette loi (ATF 113 V 186 consid.</w:t>
      </w:r>
    </w:p>
    <w:p>
      <w:r>
        <w:t>A/1971/2025 - 17/19 - 4b). Notre Haute Cour a également examiné l'art. 28 de la loi zougoise sur les allocations familiales, dont l'alinéa premier a la teneur suivante : « Soweit dieses Gesetz den Vollzug nicht abschliessend regelt, finden die Bestimmungen des Bundesgesetzes über die Familienzulagen in der Landwirtschaft als ergänzendes Recht Anwendung. », ce qui peut être traduit par « Pour autant que la présente loi ne règle pas son exécution de manière exhaustive, les dispositions de la loi fédérale sur les allocations familiales dans l'agriculture sont applicables à titre de droit supplétif ». Elle a retenu que la loi zougoise ne contient pas de disposition sur la responsabilité, mais un renvoi dynamique à une autre législation, ce qui est problématique eu égard aux exigences de précision de la base légale et de répartition démocratique des compétences, lorsque le droit auquel il est renvoyé contient des dispositions qui, compte tenu de leur signification pour la situation juridique des justiciables, doivent être prévues par une loi ou être démocratiquement légitimes. Un tel renvoi peut toutefois constituer des bases légales suffisantes à certaines conditions. Il faut pour cela qu'il soit suffisamment clair et dénué d'ambiguïté. Dans le cas d'espèce, la norme zougoise se distingue de la disposition du canton de Nidwald ayant fait l'objet de la jurisprudence précitée, en tant qu'elle renvoie non pas à la LAVS, mais à la LFA. Un tel renvoi indirect est encore plus problématique au regard du principe de la légalité. De plus, la notion d'exécution (Vollzug), tant dans son acception tant juridique que dans le langage quotidien, ne recouvre pas une norme de droit matériel instituant une responsabilité. En outre, le droit cantonal des allocations familiales et la LAVS, de rang fédéral, ne présentent pas un lien de connexité suffisant pour renoncer à une base légale claire. Le Tribunal fédéral a conclu que l'art. 28 de la loi cantonale zougoise ne constitue pas une base légale suffisante pour réclamer l'indemnisation du préjudice résultant du non-paiement de cotisations sociales selon le droit cantonal (ATF 134 I 179 consid. 6.4). De manière générale, dans le domaine de la procédure en réparation du dommage prévue par le droit des assurances sociales, les questions réglées par le droit cantonal ne sont pas à ce point subordonnées à celles de droit fédéral que des voies de droit distinctes ne se justifient pas (arrêt du Tribunal fédéral des assurances H 142/04 du 12 août 2005 consid. 1). La loi genevoise sur l’accueil préscolaire est entrée en vigueur le 1er janvier 2020. Cette loi a institué à son art. 10 une contribution des employeurs. L’art. 14 al. 2 LAPr quant à lui renvoie certes à la LAVS et à la LPGA, mais sur des points sans lien avec la responsabilité des organes au sens de l’art. 52 LAVS. Ni la loi, ni son règlement ne font de référence à la responsabilité prévue à l’art. 52 LAVS. Interpelée, l’intimée s’est référée à l’ATAS/79/2020 sans faire état de base légale lui permettant de réclamer cette contribution au recourant.</w:t>
      </w:r>
    </w:p>
    <w:p>
      <w:r>
        <w:t>A/1971/2025 - 18/19 - Force est ainsi de constater qu’à défaut de base légale, le recourant ne peut pas être recherché pour le dommage subi suite au défaut de paiement de la contribution au sens de la LAPr. S’agissant de la redistribution taxe CO2, la Cour de céans relèvera qu’elle est portée en déduction du dommage réclamé au recourant. Enfin, comme déjà relevé précédemment, le recourant ne saurait être tenu pour responsable des frais de sommation, de poursuite et des intérêts moratoires intervenus postérieurement à sa radiation en tant qu’administrateur. Il sera précisé que, contrairement aux allégations du recourant, le décompte détaillant les postes du dommage réclamé ne fait état ni de frais de saisie ni de frais judiciaires.</w:t>
      </w:r>
    </w:p>
    <w:p>
      <w:r>
        <w:rPr>
          <w:b/>
        </w:rPr>
        <w:t>E. 4.4</w:t>
      </w:r>
    </w:p>
    <w:p>
      <w:r>
        <w:t>L’art. 49 Titre final du Code civil suisse du 10 décembre 1907 (CC - RS 210) règle de manière générale les questions de droit transitoire en matière de prescription et a été réécrit lors de la révision du droit de la prescription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(FF 2014</w:t>
      </w:r>
    </w:p>
    <w:p>
      <w:r>
        <w:t>A/1971/2025 - 7/19 - 221 p. 231). Par ailleurs, même si la prétention bénéficie d’un nouveau délai plus long de prescription, cela n’influence pas le point de départ de la prescription, c’est-à-dire que le délai ne recommence pas à courir au moment de l’entrée en vigueur du nouveau droit (FF 2014 221 p. 254).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w:t>
      </w:r>
    </w:p>
    <w:p>
      <w:r>
        <w:rPr>
          <w:b/>
        </w:rPr>
        <w:t>E. 4.5</w:t>
      </w:r>
    </w:p>
    <w:p>
      <w:r>
        <w:t>Les délais prévus par les art. 52 al. 3 LAVS, dans son ancienne teneur,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S’agissant des actes interruptifs de prescription, selon la jurisprudence rendue à propos de l’art. 52 al. 3 LAVS, dans son ancienne teneur, les délais de prescription sont interrompus par les actes énumérés à l’art. 135 CO (applicable par analogie) ainsi que par tous les actes de procédure relatif au droit invoqué et susceptible de faire progresser l'instance (ATF 141 V 487 consid. 2.3 p. 48 ; arrêt du Tribunal fédéral 9C_641/2020 du 30 mars 2021 consid. 5.3 et la référence ; arrêt du Tribunal fédéral 9C_400/2020 du 19 octobre 2020 consid. 3.2.1 et la référence). Ainsi, tant la décision que l’opposition interrompent les délais de prescription (ATF 135 V 74 consid. 4.2.2).</w:t>
      </w:r>
    </w:p>
    <w:p>
      <w:r>
        <w:rPr>
          <w:b/>
        </w:rPr>
        <w:t>E. 4.6</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ATF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w:t>
      </w:r>
    </w:p>
    <w:p>
      <w:r>
        <w:t>A/1971/2025 - 8/19 - la publication de la suspension de la liquidation de la faillite faute d'actifs (ATF 129 V 193 consid. 2.3 ; cf. également 141 V 487 consid. 2.2 et les références).</w:t>
      </w:r>
    </w:p>
    <w:p>
      <w:r>
        <w:rPr>
          <w:b/>
        </w:rPr>
        <w:t>E. 4.7</w:t>
      </w:r>
    </w:p>
    <w:p>
      <w:r>
        <w:t>En l'occurrence, la faillite de la société a été prononcée le 7 novembre 2024, de sorte que c’est le délai de prescription de trois ans qui s’applique. La décision en réparation du dommage du 15 avril 2025 est donc intervenue en temps utile. Par conséquent, le droit à réparation du dommage n'est pas prescrit.</w:t>
      </w:r>
    </w:p>
    <w:p>
      <w:r>
        <w:rPr>
          <w:b/>
        </w:rPr>
        <w:t>E. 5</w:t>
      </w:r>
    </w:p>
    <w:p>
      <w:r>
        <w:t>Il convient à présent d'examiner si les conditions de la responsabilité de l'art. 52 LAVS sont réalisées.</w:t>
      </w:r>
    </w:p>
    <w:p>
      <w:r>
        <w:rPr>
          <w:b/>
        </w:rPr>
        <w:t>E. 5.1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La responsabilité d'un administrateur dure en règle générale jusqu'au moment où il quitte effectivement le conseil d'administration et non pas jusqu'à la date où son</w:t>
      </w:r>
    </w:p>
    <w:p>
      <w:r>
        <w:t>A/1971/2025 - 9/19 -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w:t>
      </w:r>
    </w:p>
    <w:p>
      <w:r>
        <w:rPr>
          <w:b/>
        </w:rPr>
        <w:t>E. 5.2</w:t>
      </w:r>
    </w:p>
    <w:p>
      <w:r>
        <w:t>Selon l’art. 22 RAVS, les cotisations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w:t>
      </w:r>
    </w:p>
    <w:p>
      <w:r>
        <w:rPr>
          <w:b/>
        </w:rPr>
        <w:t>E. 5.3</w:t>
      </w:r>
    </w:p>
    <w:p>
      <w:r>
        <w:t>Suivant l'art. 34 al. 1 let. a RAVS, les cotisations doivent être payées dans les</w:t>
      </w:r>
    </w:p>
    <w:p>
      <w:r>
        <w:rPr>
          <w:b/>
        </w:rPr>
        <w:t>E. 5.4</w:t>
      </w:r>
    </w:p>
    <w:p>
      <w:r>
        <w:t>En l'espèce, le recourant était inscrit au registre du commerce en qualité d'administrateur de la société avec signature individuelle du 13 mai 2019 au 21 janvier 2021, ce qui n'est pas contesté. Il disposait ainsi de la qualité d'organe formel de la société lorsque les cotisations non payées pour les années 2019 et 2020 sont arrivées à échéance. Il peut par conséquent être recherché à ce titre par l'intimée pour le non-paiement des cotisations litigieuses, la société ayant fait faillite, cette dernière ayant été suspendue faute d’actifs provoquant un dommage à l’intimée. Le recourant ne saurait cependant être tenu pour responsable des frais de sommation, de poursuite et des intérêts moratoires intervenus postérieurement à sa radiation en tant qu’administrateur. 6.</w:t>
      </w:r>
    </w:p>
    <w:p>
      <w:r>
        <w:t>6.1 Il convient ensuite d'examiner si le recourant a commis une faute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w:t>
      </w:r>
    </w:p>
    <w:p>
      <w:r>
        <w:t>A/1971/2025 - 10/19 -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6.2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w:t>
      </w:r>
    </w:p>
    <w:p>
      <w:r>
        <w:t>A/1971/2025 - 11/19 -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w:t>
      </w:r>
    </w:p>
    <w:p>
      <w:r>
        <w:rPr>
          <w:b/>
        </w:rPr>
        <w:t>E. 10</w:t>
      </w:r>
    </w:p>
    <w:p>
      <w:r>
        <w:t>Dans ces circonstances, le recours sera partiellement admis, la décision attaquée sera annulée en tant qu'elle inclut dans le dommage à réparer les cotisations et contribution impayées fondées sur la LAMat et la LAPr, les intérêts moratoires et les frais y relatifs ainsi que les frais de sommation, de poursuite et des intérêts moratoires intervenus postérieurement à sa radiation. La cause sera renvoyée à l'intimée afin qu'elle procède à un nouveau calcul du dommage excluant les éléments précités.</w:t>
      </w:r>
    </w:p>
    <w:p>
      <w:r>
        <w:rPr>
          <w:b/>
        </w:rPr>
        <w:t>E. 11</w:t>
      </w:r>
    </w:p>
    <w:p>
      <w:r>
        <w:t>Le recourant obtenant partiellement gain de cause et ayant agi en personne, il ne se justifie pas de lui octroyer des dépens (art. 61 let. g LPGA et art. 6 du règlement sur les frais, émoluments et indemnités en matière administrative du 30 juillet 1986 - RFPA - E 5 10.03). Pour le surplus, la procédure est gratuite (art. 61 let. a LPGA, dans sa teneur jusqu’au 31 décembre 2020, applicable selon l’art. 83 LPGA).</w:t>
      </w:r>
    </w:p>
    <w:p>
      <w:r>
        <w:t>***</w:t>
      </w:r>
    </w:p>
    <w:p>
      <w:r>
        <w:t>A/1971/2025 - 19/19 - PAR CES MOTIFS, LA CHAMBRE DES ASSURANCES SOCIALES : Statuant À la forme : 1. Déclare le recours recevable. Au fond : 2. L’admet partiellement. 3. Annule la décision sur opposition du 14 mai 2025 en tant qu'elle inclut dans le dommage à réparer les cotisations et la contribution impayées fondées sur la LAMat et la LAPr, les intérêts moratoires et les frais y relatifs ainsi que les frais de sommation, de poursuite et les intérêts moratoires intervenus postérieurement à la radiation du recourant. 4. La confirme pour le surplus. 5. Renvoie la cause à l'intimée pour nouveau calcul du dommage au sens des considérants.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 suppléante</w:t>
      </w:r>
    </w:p>
    <w:p>
      <w:r>
        <w:t>Marie-Josée COSTA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