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ATAS/75/2022 vom 3. Februar 2022</w:t>
      </w:r>
    </w:p>
    <w:p>
      <w:r>
        <w:t>GE Cour de justice, 2022-02-03, FR</w:t>
      </w:r>
    </w:p>
    <w:p>
      <w:r>
        <w:rPr>
          <w:b/>
        </w:rPr>
        <w:t xml:space="preserve">Quelle: </w:t>
      </w:r>
      <w:r>
        <w:t>https://mcp.opencaselaw.ch/entscheid/ge_gerichte_ATAS_75_2022</w:t>
      </w:r>
    </w:p>
    <w:p>
      <w:r>
        <w:t>FR: GE_GERICHTE ATAS/75/2022 du 3 février 2022</w:t>
      </w:r>
    </w:p>
    <w:p>
      <w:r>
        <w:t>IT: GE_GERICHTE ATAS/75/2022 del 3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A/3359/2021 - 3/5 -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recours, interjeté dans les forme et délai prescrits par la loi, est recevable (art. 56 et 60 LPGA ; art. 89B de la loi sur la procédure administrative du 12 septembre 1985 [LPA-GE - E 5 10]).</w:t>
      </w:r>
    </w:p>
    <w:p>
      <w:r>
        <w:rPr>
          <w:b/>
        </w:rPr>
        <w:t>E. 4</w:t>
      </w:r>
    </w:p>
    <w:p>
      <w:r>
        <w:t>Le litige porte sur le droit du recourant à des prestations complémentaires cantonales, singulièrement sur la question de savoir si les conditions supplémentaires prévues pour les étrangers étaient réalisées lors du dépôt de sa demande.</w:t>
      </w:r>
    </w:p>
    <w:p>
      <w:r>
        <w:rPr>
          <w:b/>
        </w:rPr>
        <w:t>E. 5.1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w:t>
      </w:r>
    </w:p>
    <w:p>
      <w:r>
        <w:rPr>
          <w:b/>
        </w:rPr>
        <w:t>E. 5.2</w:t>
      </w:r>
    </w:p>
    <w:p>
      <w:r>
        <w:t>D’après l’art. 4 al. 1 let. c LPC, les personnes qui ont leur domicile et leur résidence habituelle (art. 13 LPGA) en Suisse ont droit à des prestations complémentaires dès lors qu’elles ont notamment droit à une rente de l’assurance- invalidité.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réaliser les ressortissants étrangers qui ne sont pas ressortissants d’un État de l’Union européenne (ci-après : l’UE) ou de l’Association européenne de libre-échange (ci- après : l’AELE ; cf. ATF 133 V 265 consid. 5 ; arrêt du Tribunal fédéral 9C_635/2014 du 10 juin 2015 consid. 4.2). À teneur de l’art. 5 al. 1 LPC, ils doivent avoir résidé en Suisse de manière ininterrompue pendant les dix années précédant immédiatement la date à laquelle ils demandent la prestation complémentaire (délai de carence). Conformément à l’art 5 al. 2 LPC, pour les réfugiés et apatrides, le délai de carence est ramené à cinq ans.</w:t>
      </w:r>
    </w:p>
    <w:p>
      <w:r>
        <w:t>A/3359/2021 - 4/5 -</w:t>
      </w:r>
    </w:p>
    <w:p>
      <w:r>
        <w:rPr>
          <w:b/>
        </w:rPr>
        <w:t>E. 5.3</w:t>
      </w:r>
    </w:p>
    <w:p>
      <w:r>
        <w:t>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w:t>
      </w:r>
    </w:p>
    <w:p>
      <w:r>
        <w:rPr>
          <w:b/>
        </w:rPr>
        <w:t>E. 6</w:t>
      </w:r>
    </w:p>
    <w:p>
      <w:r>
        <w:t>En l'espèce, le recourant est ressortissant du Maroc, un pays n'appartenant ni à l'UE, ni à l'AELE, et avec lequel la Suisse n'a conclu aucune convention de sécurité sociale. Il n'est pas contesté que son séjour dans le canton de Genève a été interrompu durant plus de deux ans durant les dix années précédant le dépôt de sa demande. Dès lors, les règles légales sont claires et ne souffrent aucune interprétation : les conditions pour être mis au bénéfice des prestations complémentaires cantonales ne sont pas remplies. La Cour de céans ne saurait y déroger dans le cas du recourant et violer ainsi le principe de l'égalité de traitement entre assurés. Eu égard à ce qui précède, le recours, manifestement infondé, est rejeté.</w:t>
      </w:r>
    </w:p>
    <w:p>
      <w:r>
        <w:t>A/3359/2021 - 5/5 -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