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ATAS/75/2020 vom 3. Februar 2020</w:t>
      </w:r>
    </w:p>
    <w:p>
      <w:r>
        <w:t>GE Cour de justice, 2020-02-03, FR</w:t>
      </w:r>
    </w:p>
    <w:p>
      <w:r>
        <w:rPr>
          <w:b/>
        </w:rPr>
        <w:t xml:space="preserve">Quelle: </w:t>
      </w:r>
      <w:r>
        <w:t>https://mcp.opencaselaw.ch/entscheid/ge_gerichte_ATAS_75_2020</w:t>
      </w:r>
    </w:p>
    <w:p>
      <w:r>
        <w:t>FR: GE_GERICHTE ATAS/75/2020 du 3 février 2020</w:t>
      </w:r>
    </w:p>
    <w:p>
      <w:r>
        <w:t>IT: GE_GERICHTE ATAS/75/2020 del 3 febbraio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4</w:t>
      </w:r>
    </w:p>
    <w:p>
      <w:r>
        <w:t>Les modifications du 18 mars 2011 de la LAI (révision 6a), entrées en vigueur le 1er janvier 2012, entraînent la modification de certaines dispositions légales dans le domaine de l'assurance-invalidité.</w:t>
      </w:r>
    </w:p>
    <w:p>
      <w:r>
        <w:rPr>
          <w:b/>
        </w:rPr>
        <w:t>E. 5</w:t>
      </w:r>
    </w:p>
    <w:p>
      <w:r>
        <w:t>Sur le plan matériel, sont en principe applicables les règles de droit en vigueur au moment où les faits juridiquement déterminants se sont produits (ATF 129 V 1 consid. 1; ATF 127 V 467 consid. 1 et les références).</w:t>
      </w:r>
    </w:p>
    <w:p>
      <w:r>
        <w:rPr>
          <w:b/>
        </w:rPr>
        <w:t>E. 6</w:t>
      </w:r>
    </w:p>
    <w:p>
      <w:r>
        <w:t>En l’espèce, au vu des faits pertinents jusqu’à la décision du 13 février 2019, le droit éventuel aux prestations doit être examiné en fonction des modifications de la LAI, dans la mesure de leur pertinence (ATF 130 V 445 et les références ; voir également ATF 130 V 329).</w:t>
      </w:r>
    </w:p>
    <w:p>
      <w:r>
        <w:rPr>
          <w:b/>
        </w:rPr>
        <w:t>E. 7</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8</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du règlement du 17 janvier 1961 sur l’assurance-invalidité</w:t>
      </w:r>
    </w:p>
    <w:p>
      <w:r>
        <w:t>A/988/2019 - 15/29 - du 17 janvier 1961 (RAI - RS 831.201) et que l'assuré a interjeté recours pour ce motif. Ce contrôle par l'autorité judiciaire n'est en revanche pas nécessaire lorsque l'administration est entrée en matière sur la nouvelle demande (ATF 109 V 108 consid. 2b). En l'occurrence, l'intimé étant entré en matière dès la présentation de la nouvelle demande, cet aspect n'étant pas litigieux, la chambre de céans n'a pas à revenir sur cette question.</w:t>
      </w:r>
    </w:p>
    <w:p>
      <w:r>
        <w:rPr>
          <w:b/>
        </w:rPr>
        <w:t>E. 9</w:t>
      </w:r>
    </w:p>
    <w:p>
      <w:r>
        <w:t>Le litige porte sur le droit du recourant aux prestations de l'assurance-invalidité, singulièrement d'un droit à une rente, refusée par l'OAI au motif que l'assuré dispose d'une pleine capacité de travail dans une activité adaptée, moyennant le respect de ses limitations fonctionnelles, la comparaison des revenus avec et sans invalidité déterminant un taux d'invalidité de 4 % (arrondi), le recourant estimant, de son côté, être totalement incapable de se retrouver dans une place de travail quelle qu'elle soit, notamment en raison de ses peurs.</w:t>
      </w:r>
    </w:p>
    <w:p>
      <w:r>
        <w:rPr>
          <w:b/>
        </w:rPr>
        <w:t>E. 10</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11</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rPr>
          <w:b/>
        </w:rPr>
        <w:t>E. 12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13</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ATF 102 V 165</w:t>
      </w:r>
    </w:p>
    <w:p>
      <w:r>
        <w:t>A/988/2019 - 16/29 -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 ATF 139 V 346 consid. 3;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w:t>
      </w:r>
    </w:p>
    <w:p>
      <w:r>
        <w:t>A/988/2019 - 17/29 - Les indicateurs standard qui doivent être pris en considération en règle générale peuvent être classés selon leurs caractéristiques communes : - catégorie « Degré de gravité fonctionnel » (ATF 141 V 281 consid. 4.3) ; - complexe « Atteinte à la santé » (consid. 4.3.1) ; - expression des éléments pertinents pour le diagnostic (consid. 4.3.1.1), succès du traitement et de la réadaptation ou résistance à cet égard (consid. 4.3.1.2), comorbidités (consid. 4.3.1.3) ; - complexe « Personnalité » (diagnostic de la personnalité, ressources personnelles; consid. 4.3.2) ; - complexe « Contexte social » (consid. 4.3.3) ; - catégorie « Cohérence » (aspects du comportement; consid. 4.4) ; -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w:t>
      </w:r>
    </w:p>
    <w:p>
      <w:r>
        <w:t>A/988/2019 - 18/29 -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w:t>
      </w:r>
    </w:p>
    <w:p>
      <w:r>
        <w:t>A/988/2019 - 19/29 -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w:t>
      </w:r>
    </w:p>
    <w:p>
      <w:r>
        <w:t>A/988/2019 - 20/29 -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d.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14</w:t>
      </w:r>
    </w:p>
    <w:p>
      <w:r>
        <w:t>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w:t>
      </w:r>
    </w:p>
    <w:p>
      <w:r>
        <w:t>A/988/2019 - 21/29 - qu'elles proviennent de médecins n'ayant pas une qualification spécialisée ou pour d'autres raisons (voir ATF 134 V 231 consid. 5.1; ATF 125 V 351 consid. 3a).</w:t>
      </w:r>
    </w:p>
    <w:p>
      <w:r>
        <w:rPr>
          <w:b/>
        </w:rPr>
        <w:t>E. 15</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du SMR a pour fonction d'opérer la synthèse des renseignements médicaux versés au dossier, de prendre position à leur sujet et de prodiguer des recommandations quant à la suite à donner au dossier sur le plan médical. En tant</w:t>
      </w:r>
    </w:p>
    <w:p>
      <w:r>
        <w:t>A/988/2019 - 22/29 -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16</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w:t>
      </w:r>
    </w:p>
    <w:p>
      <w:r>
        <w:t>A/988/2019 - 23/29 -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17</w:t>
      </w:r>
    </w:p>
    <w:p>
      <w:r>
        <w:t>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w:t>
      </w:r>
    </w:p>
    <w:p>
      <w:r>
        <w:t>A/988/2019 - 24/29 - fédérale de la Confédération suisse du 18 avril 1999 (RS 101 - Cst; SVR 2001 IV n. 10 p. 28 consid. 4b), la jurisprudence rendue sous l’empire de l’art. 4 aCst. étant toujours valable (ATF 124 V 90 consid. 4b; ATF 122 V 157 consid. 1d).</w:t>
      </w:r>
    </w:p>
    <w:p>
      <w:r>
        <w:rPr>
          <w:b/>
        </w:rPr>
        <w:t>E. 18</w:t>
      </w:r>
    </w:p>
    <w:p>
      <w:r>
        <w:t>En l'espèce, il est constant que la demande de prestations d'assurance-invalidité repose à la fois sur des atteintes somatiques, et psychiques, quand bien même selon le recourant lui-même et ses médecins traitants, l'aspect psychique est actuellement prépondérant. Il convient dès lors d'examiner chacune de ces composantes pour déterminer si l'appréciation de l'intimé par rapport à chacun de ces aspects justifie les conclusions qu'il en a tiré pour conclure au rejet de la demande de prestations.</w:t>
      </w:r>
    </w:p>
    <w:p>
      <w:r>
        <w:rPr>
          <w:b/>
        </w:rPr>
        <w:t>E. 19</w:t>
      </w:r>
    </w:p>
    <w:p>
      <w:r>
        <w:t>Sur le plan somatique, le SMR a retenu dans son rapport final du 19 février 2019 que l'activité habituelle de jardinier n'est plus possible depuis janvier 2014, l'atteinte principale à la santé, sur ce plan, étant celle de gonarthrose débutante, les autres atteintes étant les lombalgies communes. Ce nonobstant, ces atteintes somatiques permettent néanmoins de retenir une pleine capacité de travail dans une activité adaptée, respectant les limitations fonctionnelles, soit : pas de port de charges supérieures à 10 kg, pas de flexion ni torsion du tronc, pas de position à genou ou accroupie, pas de marche en terrain irrégulier ni de station debout prolongée et pas d'utilisation répétée d'escaliers. Il convient à cet égard de relever que l'avis exprimé par le service médical de l'intimé peut se voir reconnaître une pleine valeur probante, au vu des principes rappelés ci-dessus concernant les exigences que l'on doit attendre d'un avis du SMR voir ci-dessus consid. 14 let. d). Dans un précédent rapport (16 mars 2018), le SMR avait rappelé qu'en raison des discordances entre les médecins (médecin traitant et spécialiste en rhumatologie notamment), l'instruction avait été reprise, notamment, dans le domaine rhumatologique, pour documenter les conclusions à en tirer, sur le plan de la CT notamment, puisque dans son premier avis, le Dr E______ ne s'était pas formellement prononcé sur cette question, ce qu'il a fait par la suite, aboutissant à la conclusion que la CT dans l'activité habituelle était nulle, mais entière (100 %) dans une activité adaptée respectant les limitations fonctionnelles qu'il avait déjà retenues précédemment. Les conclusions de ce spécialiste sont convaincantes, basées sur des renseignements anamnestiques adéquats, prenant en compte les plaintes du patient et les propres constatations qu'il a pu faire à l'examen clinique. Celles, plus pessimistes, du médecin traitant doivent être appréciées avec retenue, non seulement parce qu'il n'explique pas, à l'époque – soit avant que ne soit prise la décision entreprise – , notamment pas les raisons pour lesquelles, sur le plan somatique, la CT dans une activité adaptée ne serait, selon lui, que de 50 % environ ; et plus encore, dans son dernier rapport, produit en cours de procédure judiciaire, il n'explique pas les raisons pour lesquelles la CT de son patient serait nulle dans toute activité, non seulement sur le plan psychique – qu'il retient d'ailleurs comme l'atteinte prépondérante à la santé –, mais également sur le plan somatique, et rhumatologique en particulier (rapport du 9 avril 2019). Ceci dit, les autres atteintes somatiques qu'il retient, traitées, ne sont pas incapacitantes en tant que telles, (quoi</w:t>
      </w:r>
    </w:p>
    <w:p>
      <w:r>
        <w:t>A/988/2019 - 25/29 - qu'il en dise, les qualifiant de complications somatiques sévères dont les critères ouvriraient selon lui un droit à une rente, au même titre que l'atteinte psychique [état dépressif récurrent sévère]). Le médecin traitant conclut d'ailleurs que « la non reconnaissance de ce droit [à la rente] acutise les souvenirs de maltraitance ou de viols qui restent ainsi « impunis ». On ne saurait certes reprocher au médecin traitant de faire preuve d'empathie à l'égard de son patient, et de largement répercuter les plaintes subjectives de ce dernier : ceci est inhérent à la nature du rapport de confiance, essentiel dans le cadre du mandat thérapeutique qui l'unit à son patient. Mais, conformément à la jurisprudence rappelée ci-dessus, cet aspect doit être pris en compte dans l'évaluation qu'il convient de faire de l'avis du médecin traitant lorsqu'il ne concorde pas avec celui des autres médecins consultés. Ce qui est notamment le cas ici par rapport à l'avis du spécialiste rhumatologue à qui il a lui-même adressé son patient pour une consultation spécialisée, mais aussi des médecins de l'intimé, voire de l'expert désigné par l'OAI. On observera d'ailleurs concernant ce dernier, psychiatre, que le Dr B______ semble ne pas partager l'avis de cet expert (Dr H______), mais sans y faire référence expresse ; il ne motive toutefois pas son avis, mais il n'est, quoi qu'il en soit, pas psychiatre, pour valablement pouvoir se prononcer. On remarquera aussi que le recourant paraît plus enclin à suivre les médecins qui vont dans son sens subjectif que ceux qui paraissent avoir une approche plus objective, même parmi ceux qu'il a lui-même consultés, via son médecin traitant notamment ; parmi ces derniers, le Dr E______. Entendu par la chambre de céans à propos de ce spécialiste en rhumatologie et des conclusions auxquelles ce dernier parvenait, la chambre de céans lui faisant observer qu'il ne s'agissait pas d'un médecin mandaté par l'OAI, mais par son médecin traitant, il a prétendu d'une part que ce rhumatologue ne l'a guère examiné, se limitant à lui demander s'il avait mal « ici ou là ». Il a indiqué que, pour lui, c'était la même chose que si c'était l'intimé qui l'avait envoyé « là-bas ». Il observe ensuite que ce ne serait pas le Dr B______ qui l'aurait adressé à ce rhumatologue, mais le Dr D_____, son précédent psychiatre (ce dernier lui ayant à l'époque reconnu depuis toujours une pleine capacité de travail [100 %] sur le plan psychiatrique, y compris dans l'activité habituelle, sous réserve de compliance à l'antidépresseur). Or, le rapport du Dr E______ du 4 juillet 2016 est adressé au Dr B______, l'auteur du rapport, commençant par remercier le destinataire de lui avoir adressé le patient. Et le recourant de rétorquer que si son médecin traitant apparaissait « dans ce dossier », c'est que selon ses conditions d'assurance-maladie, il devait disposer d'un médecin généraliste qu'il doit consulter en premier recours, et qui doit lui-même le déléguer à un spécialiste. Il reproche encore au Dr E______ de ne pas lui avoir proposé de nouveau rendez-vous ni proposé quoi que ce soit pour améliorer sa situation. Alors que la chambre de céans lui faisait observer qu'en principe, c'est plutôt le patient qui s'adresse au médecin quand il en a besoin plutôt que l'inverse, il répond que c'est précisément pour cela qu'il avait été le voir, mais finalement ce médecin ne lui avait rien proposé. Dans le même registre, alors qu'il est interrogé sur les raisons pour lesquelles il a changé de</w:t>
      </w:r>
    </w:p>
    <w:p>
      <w:r>
        <w:t>A/988/2019 - 26/29 - psychiatre traitant, il explique que c'est en raison du fait que la psychologue qui le suit depuis des années, qui travaillait à l'époque pour son précédent psychiatre traitant, a changé de cabinet pour aller travailler dans celui où officie sa psychiatre actuelle, raison pour laquelle c'est la Dresse J______ qui le suit désormais. Il remarque toutefois: « Je dois dire également que, de son côté également, le Dr D_____ ne m'a plus reconvoqué depuis le mois de janvier (2019) ».</w:t>
      </w:r>
    </w:p>
    <w:p>
      <w:r>
        <w:rPr>
          <w:b/>
        </w:rPr>
        <w:t>E. 20</w:t>
      </w:r>
    </w:p>
    <w:p>
      <w:r>
        <w:t>Comme déjà relevé, c'est l'aspect psychique qui apparaît au premier plan des atteintes à la santé dont le recourant est atteint, et dont les conséquences ou l'intensité divisent les parties : l'OAI se fonde essentiellement sur les conclusions du rapport d'expertise du Dr H______, qui considère en substance que l'assuré, au vu des éléments à disposition, avait déjà une pleine capacité de travail sur le plan psychiatrique, cette pleine CT existant dans toute activité notamment dans la vente, et en particulier dans l'horticulture, admettant toutefois que la restauration semble être peu en rapport avec ses capacités à faire face au stress, aux interactions sociales, ce métier étant relativement astreignant tant en termes d'horaires qu'en termes de contact avec les collègues et ses patrons. Du point de vue des médecins traitants du recourant et de ce dernier, le généraliste considère, notamment dans son attestation du 9 avril 2019 – postérieure au dépôt du recours – que son patient, dépendant de l'Hospice général, il n'y a aucun espoir de réinsertion dans le monde du travail à cause de ses problèmes psychiques, bien décrits par la Dresse J______ (nouvelle psychiatre qui n'avait rencontré son patient qu'à deux reprises, la première fois après la décision entreprise). Il sera revenu ci-après sur l'avis exprimé par le précédent psychiatre de l'assuré, dans la phase de l'instruction du dossier par l'intimé, ceci dans le cadre de l'examen de la valeur probante de l'expertise administrative effectuée par le Dr H______. Vu la divergence existant entre les parties, il convient en effet, conformément aux principes rappelés ci-dessus de déterminer si, comme le soutient l'intimé, et avant lui le SMR, d'examiner si le rapport d'expertise du Dr H______ peut se voir reconnaître une pleine valeur probante.</w:t>
      </w:r>
    </w:p>
    <w:p>
      <w:r>
        <w:rPr>
          <w:b/>
        </w:rPr>
        <w:t>E. 21</w:t>
      </w:r>
    </w:p>
    <w:p>
      <w:r>
        <w:t>Force est de constater que ce rapport remplit sur le plan formel toutes les exigences auxquelles la jurisprudence soumet la valeur probante d'un tel document : il contient le résumé du dossier, une anamnèse détaillée, les indications subjectives du recourant, des observations cliniques, ainsi qu’une discussion du cas ; ses conclusions, qui résultent d'une analyse complète de la situation médicale, sont claires, bien motivées et convaincantes. Cette expertise est le fruit d'une pleine connaissance du dossier, l'expert ayant pris soin d'interpeller par écrit le psychiatre traitant, en lui posant toutes les questions qui lui paraissaient nécessaires et pertinentes, ayant examiné personnellement le patient, recueillant ses plaintes subjectives et consignant ses propres constatations à l'examen clinique. Sur le fond, le Dr H______ a notamment retenu les diagnostics de trouble dépressif en rémission (F32.5), dysthymie (F34.1), personnalité état limite [du registre abandonnique] (F60.3). L'expert a pris en compte le diagnostic retenu par le</w:t>
      </w:r>
    </w:p>
    <w:p>
      <w:r>
        <w:t>A/988/2019 - 27/29 - psychiatre traitant de dépression moyenne (F32.1) et exposé les raisons pour lesquelles il était amené à ne retenir aucun diagnostic ayant une répercussion sur la CT, mais seuls des diagnostics sans répercussion sur la CT. L'expert a également examiné les indicateurs retenus par la jurisprudence, notamment en relation avec les thérapies suivies, la coopération de l'assuré au cours de celles-ci, l'évaluation de la cohérence et de la plausibilité ; l'expert estime que le dossier ne comporte pas d'informations très divergentes et son appréciation est conforme à celle du psychiatre traitant (Dr D_____), mais il relève que l'évaluation de la CT semble avoir été difficile pour ce dernier. Selon l'expert, on peine à saisir pour quels motifs le psychiatre traitant change d'appréciation ; ce dernier évoque parfois une CT à 100 %, d'autres fois à 50 %, voire nulle dans les derniers temps de son suivi du patient. L'expert relève, sur ce dernier point, que le psychiatre traitant ne parvenait pas à expliquer pourquoi, dans une situation où le diagnostic n'avait pas changé et la situation du patient était stationnaire, la CT passait de 50 % à 0 %, alors même que les traitements médicamenteux entrepris permettaient d'atteindre une certaine amélioration de l'état de santé de l'intéressé. Il remarque toutefois, à la décharge du psychiatre traitant, que le patient est parfois dramatique et indulgent face à lui- même « ceci expliquant peut-être cela ». Il note encore que le psychiatre traitant évoque surtout des éléments qui sortent du contexte médical, tels que la durée de l'éloignement du monde du travail, des anticipations négatives à l'idée de rechercher un emploi et une certaine anxiété. Il relève en outre que le fonctionnement actuel du patient n'a aucune répercussion dans ses activités ménagères, de loisirs et sociales. C'est du reste le lieu de remarquer que l'expert, conformément aux exigences de la jurisprudence en cas d'atteinte psychique à la santé, a évalué la capacité de travail réellement exigible dans le cadre d'une procédure d'établissement des faits structurée et sans résultat prédéfini, permettant de mettre en regard les facteurs extérieurs incapacitants d’une part et les ressources de compensation de la personne d’autre part (ATF 141 V 281 consid. 3.6 et 4). Pour le détail, il est renvoyé au ch.</w:t>
      </w:r>
    </w:p>
    <w:p>
      <w:r>
        <w:rPr>
          <w:b/>
        </w:rPr>
        <w:t>E. 24</w:t>
      </w:r>
    </w:p>
    <w:p>
      <w:r>
        <w:t>Mal fondé, le recours doit être rejeté.</w:t>
      </w:r>
    </w:p>
    <w:p>
      <w:r>
        <w:rPr>
          <w:b/>
        </w:rPr>
        <w:t>E. 25</w:t>
      </w:r>
    </w:p>
    <w:p>
      <w:r>
        <w:t>La procédure n'étant pas gratuite (art. 69 al. 1bis LAI), il y a lieu de condamner le recourant au paiement d'un émolument de CHF 200.-.</w:t>
      </w:r>
    </w:p>
    <w:p>
      <w:r>
        <w:t>A/988/2019 - 29/29 -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