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ATAS/75/2014 vom 13. Januar 2014</w:t>
      </w:r>
    </w:p>
    <w:p>
      <w:r>
        <w:t>GE Cour de justice, 2014-01-13, FR</w:t>
      </w:r>
    </w:p>
    <w:p>
      <w:r>
        <w:rPr>
          <w:b/>
        </w:rPr>
        <w:t xml:space="preserve">Quelle: </w:t>
      </w:r>
      <w:r>
        <w:t>https://mcp.opencaselaw.ch/entscheid/ge_gerichte_ATAS_75_2014</w:t>
      </w:r>
    </w:p>
    <w:p>
      <w:r>
        <w:t>FR: GE_GERICHTE ATAS/75/2014 du 13 janvier 2014</w:t>
      </w:r>
    </w:p>
    <w:p>
      <w:r>
        <w:t>IT: GE_GERICHTE ATAS/75/2014 del 13 gennaio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7 du Code de procédure civile suisse du 19 décembre 2008 (CPC ; RS 292) et à l'art. 134 al. 1 let. c de la loi sur l'organisation judiciaire, du 26 septembre 2010 (LOJ; RS E 2 05) en vigueur depuis le 1er janvier 2011, la Chambre des assurances sociales de la Cour de justice connaît en instance unique des contestations relatives aux assurances complémentaires à l’assurance-maladie sociale prévue par la LAMal, relevant de la loi fédérale sur le contrat d'assurance, du 2 avril 1908 (loi sur le contrat d’assurance, LCA; RS 221.229.1). Sa compétence pour juger du cas d’espèce est ainsi établie.</w:t>
      </w:r>
    </w:p>
    <w:p>
      <w:r>
        <w:rPr>
          <w:b/>
        </w:rPr>
        <w:t>E. 2</w:t>
      </w:r>
    </w:p>
    <w:p>
      <w:r>
        <w:t>Aux termes de l’art. 126 al. 1 CPC, le tribunal peut ordonner la suspension de la procédure si des motifs d'opportunité le commandent. La procédure peut notamment être suspendue lorsque la décision dépend du sort d'un autre procès.</w:t>
      </w:r>
    </w:p>
    <w:p>
      <w:r>
        <w:rPr>
          <w:b/>
        </w:rPr>
        <w:t>E. 3</w:t>
      </w:r>
    </w:p>
    <w:p>
      <w:r>
        <w:t>Les litiges relatifs aux assurances complémentaires à l'assurance-maladie ne sont pas soumis à la procédure de conciliation préalable de l'art. 197 CPC lorsque les cantons ont prévu une instance cantonale unique selon l'art. 7 CPC (ATF 138 III 558 consid. 4.5 et 4.6; ATAS/577/2011 du 31 mai 2011), étant précisé que le législateur genevois a fait usage de cette possibilité (art. 134 al. 1 let. c LOJ).</w:t>
      </w:r>
    </w:p>
    <w:p>
      <w:r>
        <w:t>A/2693/2013 - 4/4 -</w:t>
      </w:r>
    </w:p>
    <w:p>
      <w:r>
        <w:rPr>
          <w:b/>
        </w:rPr>
        <w:t>E. 4</w:t>
      </w:r>
    </w:p>
    <w:p>
      <w:r>
        <w:t>Pour le surplus, la procédure est gratuite (art. 114 let. e CPC).</w:t>
      </w:r>
    </w:p>
    <w:p>
      <w:r>
        <w:rPr>
          <w:b/>
        </w:rPr>
        <w:t>E. 5</w:t>
      </w:r>
    </w:p>
    <w:p>
      <w:r>
        <w:t>En l’espèce, la demanderesse chiffre ses prétentions découlant des contrats conclus avec SWICA comme étant la différence entre les factures qu’elle a reçues et ce que l’assurance obligatoire LAMal couvre.</w:t>
      </w:r>
    </w:p>
    <w:p>
      <w:r>
        <w:rPr>
          <w:b/>
        </w:rPr>
        <w:t>E. 6</w:t>
      </w:r>
    </w:p>
    <w:p>
      <w:r>
        <w:t>La présente cause dépend donc de l’issue du litige relatif à la couverture LAMal. La suspension de la cause sera ordonnée dans l’attente d’une décision définitive et exécutoire en matière LAMal. PAR CES MOTIFS, LA CHAMBRE DES ASSURANCES SOCIALES : Statuant sur incident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