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ATAS/759/2015 vom 12. Oktober 2015</w:t>
      </w:r>
    </w:p>
    <w:p>
      <w:r>
        <w:t>GE Cour de justice, 2015-10-12, FR</w:t>
      </w:r>
    </w:p>
    <w:p>
      <w:r>
        <w:rPr>
          <w:b/>
        </w:rPr>
        <w:t xml:space="preserve">Quelle: </w:t>
      </w:r>
      <w:r>
        <w:t>https://mcp.opencaselaw.ch/entscheid/ge_gerichte_ATAS_759_2015</w:t>
      </w:r>
    </w:p>
    <w:p>
      <w:r>
        <w:t>FR: GE_GERICHTE ATAS/759/2015 du 12 octobre 2015</w:t>
      </w:r>
    </w:p>
    <w:p>
      <w:r>
        <w:t>IT: GE_GERICHTE ATAS/759/2015 del 12 ottobre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A/1256/2015 - 5/7 -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forme (art. 56ss LPGA).</w:t>
      </w:r>
    </w:p>
    <w:p>
      <w:r>
        <w:rPr>
          <w:b/>
        </w:rPr>
        <w:t>E. 3</w:t>
      </w:r>
    </w:p>
    <w:p>
      <w:r>
        <w:t>L’objet du litige porte sur la question de la prise en compte d’une part privée de CHF 7'740.- par année à titre de revenu de Monsieur C______ pour les années 2011, 2012 et 2013.</w:t>
      </w:r>
    </w:p>
    <w:p>
      <w:r>
        <w:rPr>
          <w:b/>
        </w:rPr>
        <w:t>E. 4</w:t>
      </w:r>
    </w:p>
    <w:p>
      <w:r>
        <w:t>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13 RAVS, la valeur de tout revenu en nature d'un autre genre sera estimée par la caisse de compensation dans chaque cas et selon les circonstances. Selon les directives sur le salaire déterminant dans l’AVS, AI et APG (DSD), en vigueur depuis le 1er janvier 2008, est considéré comme revenu en nature d’un autre genre, lorsqu’elle est accordée régulièrement, la remise d’une voiture de société à des fins privées (DSD n° 2063). Les caisses de compensation évaluent l’utilisation à des fins privées de la voiture de société de manière identique aux autorités fiscales (DSD n° 2063). Le guide d’établissement de certificat de salaire et de l’attestation de rentes (Guide) établit des critères pour déterminer la part privée à la voiture de service. Il mentionne que si l’employeur prend à sa charge la totalité des frais, l’employé ne réglant que les frais de carburant pour ses longs trajets privés le week-end ou durant les vacances, il déclarera 0,8% par mois du prix d’achat du véhicule (hors taxe sur la valeur ajoutée), mais au moins CHF 150.- par mois (Guide n° 21). Il est spécifié qu’aucune déclaration ne doit être faite si l’employé n’a le droit d’utiliser le véhicule de service que pour ses trajets domicile – lieu de travail, à l’exclusion de tout autre usage privé (Guide n° 24).</w:t>
      </w:r>
    </w:p>
    <w:p>
      <w:r>
        <w:rPr>
          <w:b/>
        </w:rPr>
        <w:t>E. 5</w:t>
      </w:r>
    </w:p>
    <w:p>
      <w:r>
        <w:t>En l’espèce, Monsieur C______ utilise le véhicule de la société de marque Porsche Cayenne, pour effectuer les trajets domicile / lieu de travail. Ce fait est admis par l’intimée. En application des art. 5 al. 2 LAVS, 13 RAVS, des DSD n° 2060 et du Guide n° 21 et 24, la part privée du véhicule de fonction doit être déterminée par la caisse de compensation de la même manière que le font les autorités fiscales. L’OFAS a confirmé l’application des directives actuellement en vigueur dans son courriel à la caisse du 1er juillet 2015.</w:t>
      </w:r>
    </w:p>
    <w:p>
      <w:r>
        <w:t>A/1256/2015 - 6/7 - En conséquence, s’agissant d’un véhicule utilisé uniquement pour effectuer les trajets domicile / lieu de travail, aucune part privée n’est admise au titre de revenu de l’employé (DSD n° 2063). Partant, c’est à tort que l’intimée s’est écartée de l’évaluation de l’AFC, dont il est admis qu’elle n’a pas retenu de part privée pour l’utilisation, par Monsieur C______, du véhicule de la société.</w:t>
      </w:r>
    </w:p>
    <w:p>
      <w:r>
        <w:rPr>
          <w:b/>
        </w:rPr>
        <w:t>E. 6</w:t>
      </w:r>
    </w:p>
    <w:p>
      <w:r>
        <w:t>Au vu de ce qui précède, le recours sera admis et la décision litigieuse du 31 mars 2013 annulée, en tant qu’elle concerne la prise en compte d’une part privée pour l’utilisation d’un véhicule de fonction. La recourante, qui n’est pas représentée, n’a pas droit à des dépens (art. 61 let. g LPGA ; ATF 129 V 113). Pour le surplus, la procédure est gratuite.</w:t>
      </w:r>
    </w:p>
    <w:p>
      <w:r>
        <w:t>A/1256/2015 - 7/7 -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