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ATAS/758/2023 vom 5. Oktober 2023</w:t>
      </w:r>
    </w:p>
    <w:p>
      <w:r>
        <w:t>GE Cour de justice, 2023-10-05, FR</w:t>
      </w:r>
    </w:p>
    <w:p>
      <w:r>
        <w:rPr>
          <w:b/>
        </w:rPr>
        <w:t xml:space="preserve">Quelle: </w:t>
      </w:r>
      <w:r>
        <w:t>https://mcp.opencaselaw.ch/entscheid/ge_gerichte_ATAS_758_2023</w:t>
      </w:r>
    </w:p>
    <w:p>
      <w:r>
        <w:t>FR: GE_GERICHTE ATAS/758/2023 du 5 octobre 2023</w:t>
      </w:r>
    </w:p>
    <w:p>
      <w:r>
        <w:t>IT: GE_GERICHTE ATAS/758/2023 del 5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Est litigieuse la question de savoir si c'est à juste titre que l'intimée a mis un terme à ses prestations avec effet au 19 janvier 2022, singulièrement si elle était légitimée à retenir qu’à compter de cette date, les troubles persistants n'étaient plus en lien de causalité avec l'accident survenu le 20 juillet 2021.</w:t>
      </w:r>
    </w:p>
    <w:p>
      <w:r>
        <w:rPr>
          <w:b/>
        </w:rPr>
        <w:t>E. 7.1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w:t>
      </w:r>
    </w:p>
    <w:p>
      <w:r>
        <w:rPr>
          <w:b/>
        </w:rPr>
        <w:t>E. 7.2</w:t>
      </w:r>
    </w:p>
    <w:p>
      <w:r>
        <w:t>Aux termes de l'art. 6 al. 2 LAA, l'assurance alloue également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Dans l'ATF 146 V 51 du 24 septembre 2019,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w:t>
      </w:r>
    </w:p>
    <w:p>
      <w:r>
        <w:t>A/1054/2022 - 6/13 - que dans cette hypothèse, l'assureur-accidents devait prendre en charge les suites de la lésion en cause sur la base de l'art. 6 al. 1 LAA ; en revanche, en l'absence d'un accident au sens juridique, le cas devait être examiné sous l'angle de l'art. 6 al. 2 LAA (arrêt du Tribunal fédéral 8C_520/2020 du 3 mai 2021 consid. 5.1). En l’espèce, il n’est pas contesté par l’intimée que le recourant a été victime d'un accident le 20 juillet 2021, au sens de l’art. 4 LPGA. Partant, il n’est pas nécessaire de déterminer si certaines atteintes constatées par les médecins relèvent de la liste de l’art. 6 al. 2 LAA.</w:t>
      </w:r>
    </w:p>
    <w:p>
      <w:r>
        <w:rPr>
          <w:b/>
        </w:rPr>
        <w:t>E. 7.3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7.4</w:t>
      </w:r>
    </w:p>
    <w:p>
      <w:r>
        <w:t>En vertu de l'art. 36 al. 1 LAA, les prestations pour soins, les remboursements de frais ainsi que les indemnités journalières et les allocations pour impotent ne sont pas réduits lorsque l'atteinte à la santé n'est que partiellement imputable à</w:t>
      </w:r>
    </w:p>
    <w:p>
      <w:r>
        <w:t>A/1054/2022 - 7/13 -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w:t>
      </w:r>
    </w:p>
    <w:p>
      <w:r>
        <w:rPr>
          <w:b/>
        </w:rPr>
        <w:t>E. 7.5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 351/04 du 14 février 2006 consid. 3.2).</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A/1054/2022 - 8/13 -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8.6</w:t>
      </w:r>
    </w:p>
    <w:p>
      <w:r>
        <w:t>Lorsqu'un cas d'assurance est réglé sans avoir recours à une expertise dans une procédure au sens de l'art. 44 LPGA, l'appréciation des preuves est soumise à des</w:t>
      </w:r>
    </w:p>
    <w:p>
      <w:r>
        <w:t>A/1054/2022 - 9/13 -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8.7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Cela vaut en principe non seulement pour les médecins de famille (cf. ATF 135 V 465 consid. 4.5 ; 125 V 351 consid. 3a/cc et les références), mais également pour les médecins spécialistes (arrêt du Tribunal fédéral 8C_660/2022 du 25 mai 2023 consid. 5.4 et la référence).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w:t>
      </w:r>
    </w:p>
    <w:p>
      <w:r>
        <w:t>A/1054/2022 - 10/13 - vraisemblance prépondérante, à la réalité (ATF 139 V 176 consid. 5.2 et les références).</w:t>
      </w:r>
    </w:p>
    <w:p>
      <w:r>
        <w:rPr>
          <w:b/>
        </w:rPr>
        <w:t>E. 9.2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11.1</w:t>
      </w:r>
    </w:p>
    <w:p>
      <w:r>
        <w:t>En l'espèce, par décision du 10 janvier 2022, confirmée sur opposition le 25 février 2022, l'intimée a mis fin au versement de ses prestations (indemnités journalières et frais de traitement) avec effet au 19 janvier 2022. Elle a considéré que, deux mois au plus tard après l’accident survenu le 20 juillet 2021, le lien de causalité entre celui-ci et les troubles encore présents avait été rompu. L’intimée a fondé sa décision sur les rapports rédigés par le Dr D______ en date des 7 janvier et 22 février 2022.</w:t>
      </w:r>
    </w:p>
    <w:p>
      <w:r>
        <w:rPr>
          <w:b/>
        </w:rPr>
        <w:t>E. 11.2</w:t>
      </w:r>
    </w:p>
    <w:p>
      <w:r>
        <w:t>Par sa part, le recourant requiert la poursuite du versement des prestations au-delà du 19 janvier 2022, en arguant que les atteintes à son genou droit sont encore en lien avec l’accident du 20 juillet 2021, comme le pense le Dr J______.</w:t>
      </w:r>
    </w:p>
    <w:p>
      <w:r>
        <w:rPr>
          <w:b/>
        </w:rPr>
        <w:t>E. 11.3</w:t>
      </w:r>
    </w:p>
    <w:p>
      <w:r>
        <w:t>Partant, la question qui se pose est celle de savoir si les troubles au genou droit dont se plaint le recourant au-delà du 19 janvier 2022 sont encore en lien de causalité naturelle avec l’accident du 20 juillet 2021.</w:t>
      </w:r>
    </w:p>
    <w:p>
      <w:r>
        <w:t>A/1054/2022 - 11/13 -</w:t>
      </w:r>
    </w:p>
    <w:p>
      <w:r>
        <w:rPr>
          <w:b/>
        </w:rPr>
        <w:t>E. 11.4</w:t>
      </w:r>
    </w:p>
    <w:p>
      <w:r>
        <w:t>Dans son appréciation finale, le Dr D______, médecin d’arrondissement de l’intimée, a retenu notamment que le recourant présentait une contusion du genou droit sur antécédent d’intervention pour atteinte fémoro-patellaire et du tendon rotulien. L’IRM du 6 août 2021 montrait clairement une contusion des parties molles, de degré relativement minime initialement. L’arthro-scanner du</w:t>
      </w:r>
    </w:p>
    <w:p>
      <w:r>
        <w:rPr>
          <w:b/>
        </w:rPr>
        <w:t>E. 11.5</w:t>
      </w:r>
    </w:p>
    <w:p>
      <w:r>
        <w:t>S’agissant enfin des troubles psychiques invoqués par le recourant dans son opposition du 19 janvier 2022, la Cour de céans constate qu’aucun rapport émanant d’un spécialiste en psychiatrie n’a été versé à la procédure.</w:t>
      </w:r>
    </w:p>
    <w:p>
      <w:r>
        <w:t>A/1054/2022 - 12/13 - Mme I______ et le Dr J______ se réfèrent, certes, dans leur rapport du 22 janvier 2022, respectivement, 11 février 2022, à l’existence d’une atteinte psychique. Force est toutefois de relever que leurs avis, très succincts, ne sont étayés par aucune constatation clinique objective. Partant, les pièces versées au dossier ne permettent pas de retenir, au degré de la vraisemblance prépondérante, que l’accident survenu le 20 juillet 2021 a causé des troubles psychiques. Au demeurant, le recourant, dans le cadre de son recours, ne le conteste pas. C’est donc à juste titre que l’intimée a mis fin au versement de ses prestations au</w:t>
      </w:r>
    </w:p>
    <w:p>
      <w:r>
        <w:rPr>
          <w:b/>
        </w:rPr>
        <w:t>E. 16</w:t>
      </w:r>
    </w:p>
    <w:p>
      <w:r>
        <w:t>décembre 2021 avait confirmé l’évolution et l’existence d’une atteinte patellaire ancienne. Il avait permis en outre d’écarter toute atteinte ostéo-ligamentaire et chondrale d’origine traumatique. La rotule, dysplasique, avait déjà fait l’objet d’une intervention, et il n’existait aucune atteinte méniscale, contrairement à ce qui avait été avancé initialement. Au vu de l’absence d’atteinte au genou, le statu quo sine aurait pu être retenu à deux mois après l’accident déjà. Par conséquent, à la date du 19 janvier 2022, le statu quo sine s’imposait (cf. rapport du 22 février 2022). Ce rapport satisfait aux conditions dégagées par le Tribunal fédéral pour se voir reconnaître une pleine valeur probante et ce, quand bien même le Dr D______ n’a pas examiné le recourant. En effet, son appréciation a été établie sur la base de l’intégralité du dossier médical, lequel contient suffisamment de rapports qui, eux, se fondent sur un examen personnel de l'intéressé. Les conclusions du Dr D______ sont par ailleurs claires et motivées. Le rapport non daté du Dr J______, que le recourant produit à l’appui de son recours, fait certes état de l’existence de lésions méniscales externes en lien avec l’accident. Cela étant, l’avis de ce spécialiste suscite des doutes, dès lors qu’il entre en contradiction avec les deux rapports que ce médecin a établis antérieurement au dépôt du recours, dans lesquels il soulignait l’absence de toute lésion méniscale (cf. rapports des 11 février et 14 mars 2022). Par ailleurs, on relèvera que la lésion osseuse sur le condyle fémoral externe à laquelle se réfère le Dr J______ a dûment été prise en considération par le Dr D______ lors de son appréciation finale (cf. rapport du 22 février 2022 p. 2). En outre, si, dans son rapport, non daté, le Dr J______ indique que la symptomatologie douloureuse relative à la chondropathie fémoro-patellaire à droite serait en lien avec l’accident, force est de constater qu’il n’apporte aucune explication permettant de comprendre sur quels éléments médicaux se fonde son avis. Partant, l’avis du Dr J______ n’est pas suffisant pour jeter le doute et s’écarter des conclusions du Dr D______. Au vu de ce qui précède, il y a lieu de retenir que les troubles persistant au genou droit du recourant postérieurement au 19 janvier 2022 ne sont plus en lien de causalité naturelle avec l’accident survenu le 20 juillet 2021.</w:t>
      </w:r>
    </w:p>
    <w:p>
      <w:r>
        <w:rPr>
          <w:b/>
        </w:rPr>
        <w:t>E. 19</w:t>
      </w:r>
    </w:p>
    <w:p>
      <w:r>
        <w:t>janvier 2022. 12. Le recours doit, par conséquent, être rejeté. Pour le surplus, la procédure est gratuite (art. 61 let. fbis LPGA a contrario).</w:t>
      </w:r>
    </w:p>
    <w:p>
      <w:r>
        <w:t>A/1054/2022 - 13/13 -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