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ATAS/758/2019 vom 27. August 2019</w:t>
      </w:r>
    </w:p>
    <w:p>
      <w:r>
        <w:t>GE Cour de justice, 2019-08-27, FR</w:t>
      </w:r>
    </w:p>
    <w:p>
      <w:r>
        <w:rPr>
          <w:b/>
        </w:rPr>
        <w:t xml:space="preserve">Quelle: </w:t>
      </w:r>
      <w:r>
        <w:t>https://mcp.opencaselaw.ch/entscheid/ge_gerichte_ATAS_758_2019</w:t>
      </w:r>
    </w:p>
    <w:p>
      <w:r>
        <w:t>FR: GE_GERICHTE ATAS/758/2019 du 27 août 2019</w:t>
      </w:r>
    </w:p>
    <w:p>
      <w:r>
        <w:t>IT: GE_GERICHTE ATAS/758/2019 del 27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Interjeté dans les forme et délai prescrits par la loi, le présent recours est recevable (art. 56 à 61 LPGA).</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attaquée (arrêt du Tribunal fédéral 9C_197/2007 du 27 mars 2008 consid. 1.2). Le litige ainsi défini porte sur le droit du recourant à une rente d’invalidité et à des mesures d’ordre professionnel.</w:t>
      </w:r>
    </w:p>
    <w:p>
      <w:r>
        <w:rPr>
          <w:b/>
        </w:rPr>
        <w:t>E. 3</w:t>
      </w:r>
    </w:p>
    <w:p>
      <w:r>
        <w:t>L’intimé a conclu à l’admission du recours dans son écriture du 19 mars 2019. En vertu de l'art. 53 al. 3 LPGA, l'assureur peut, jusqu'à l'envoi de son préavis à l'autorité de recours, reconsidérer une décision ou une décision sur opposition contre laquelle un recours a été formé. A contrario, si l'assureur a déjà envoyé sa réponse, il ne peut plus reconsidérer sa décision (arrêt du Tribunal fédéral 8C_1/2011 du 5 septembre 2011 consid. 1.1 et les références). En l’espèce, la compétence conférée à l’intimé par la chambre de céans dans son arrêt incident du 27 juin 2018 portait uniquement sur l’octroi de mesures d’ordre professionnel, de sorte que l’acquiescement tardif de l’intimé aux conclusions du recours relatives au maintien du droit à la rente constitue une simple proposition à la chambre de céans.</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w:t>
      </w:r>
    </w:p>
    <w:p>
      <w:r>
        <w:t>A/2128/2018 - 9/13 -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6</w:t>
      </w:r>
    </w:p>
    <w:p>
      <w:r>
        <w:t>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w:t>
      </w:r>
    </w:p>
    <w:p>
      <w:r>
        <w:t>A/2128/2018 - 10/13 - que ses conséquences sur la capacité de gain ont subi un changement important (arrêt du Tribunal fédéral 9C_117/2018 du 19 octobre 2018 consid. 5.1).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t>A/2128/2018 - 11/13 -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En l’espèce, le Dr G______ a conclu à une pleine capacité de travail du recourant. Cette appréciation paraît cependant en contradiction avec ses observations, puisqu’il a à plusieurs reprises insisté sur le fonctionnement qualifié de « sociopathique » du recourant. Dans ce contexte, il a évoqué son absence de culpabilité par rapport aux condamnations pénales, son impossibilité à nouer des relations durables et à supporter les lois et les contraintes, et son agressivité et sa frustration sous-jacentes. L’expert a en outre souligné qu’on ne pouvait espérer de modification de ce fonctionnement. Ces traits rappellent les constatations cliniques qui avaient amené la Dresse C______ à exclure toute capacité de travail du recourant en avril 2000. L’activité déployée par le recourant au sein de l’association F______ ne suffit pas non plus à admettre qu’il aurait recouvré une pleine capacité de travail. En effet, on ne saurait assimiler la vente et la promotion de cannabis et de produits qui en sont dérivés à une activité lucrative. D’une part, il s’agit d’une activité qui pourrait relever d’une infraction pénale au sens de la loi fédérale sur les stupéfiants et les substances psychotropes (LStup – RS 812.121), si bien qu’il est exclu d’y voir une activité adaptée au sens de l’assurance-invalidité. D’autre part, il n’est pas anodin que ce soit dans une activité dont l’expert reconnaît qu’elle est « à la limite de la légalité » que le recourant ait retrouvé un certain équilibre. On peut y voir la manifestation de la personnalité antisociale diagnostiquée tant par le Dr G______</w:t>
      </w:r>
    </w:p>
    <w:p>
      <w:r>
        <w:t>A/2128/2018 - 12/13 - que par le Dr E______, et de l’impossibilité pour le recourant de supporter les contraintes et de respecter le cadre légal en raison de son atteinte psychique. Dans un tel cas, conformément à la jurisprudence, il faut se demander si la mise à profit d’une éventuelle capacité de travail peut raisonnablement être exigée et si elle est même supportable pour la société (ATF 127 V 294 consid. 4c). Au vu de la persistance du trouble de la personnalité, il y a lieu, à l’instar du service de réadaptation de l’intimé, de répondre à cette question par la négative. Partant, on ne saurait suivre le Dr G______ lorsqu’il conclut à une capacité de gain complète dès janvier d’une activité adaptée dès janvier 2017. Le droit à la rente du recourant ne s’est ainsi pas modifié.</w:t>
      </w:r>
    </w:p>
    <w:p>
      <w:r>
        <w:rPr>
          <w:b/>
        </w:rPr>
        <w:t>E. 9</w:t>
      </w:r>
    </w:p>
    <w:p>
      <w:r>
        <w:t>Le recours est admis. Le recourant a conclu à l’allocation d’un montant de CHF 5'250.- à titre de dépens. S’il a droit à une indemnité dès lors qu’il obtient gain de cause (art. 61 let. g LPGA), le droit cantonal prévoit que la juridiction peut allouer à une partie pour les frais indispensables occasionnés par la procédure, y compris les honoraires éventuels d'un mandataire, une indemnité de CHF 200.- à CHF 10'000.- (art. 6 du règlement genevois du 30 juillet 1986 sur les frais, émoluments et indemnités en procédure administrative - RFPA - RSG E 5 10.03). En règle générale, les honoraires d’avocat sont fixés en fonction de l’importance et de la difficulté du litige, ainsi que d’après le travail et le temps que le mandataire a dû y consacrer (arrêt du Tribunal fédéral des assurances I 699/04 du 23 janvier 2006 consid. 2.3). En l’espèce, eu égard aux particularités de la cause, l’indemnité de dépens sera fixée à CHF 2'750.-. La procédure en matière d’assurance-invalidité n’étant pas gratuite (art. 69 al. 1bis LAI), l’intimé supporte l’indemnité de procédure de CHF 800.-. * * * * * *</w:t>
      </w:r>
    </w:p>
    <w:p>
      <w:r>
        <w:t>A/2128/2018 - 13/13 -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