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ATAS/758/2011 vom 17. August 2011</w:t>
      </w:r>
    </w:p>
    <w:p>
      <w:r>
        <w:t>GE Cour de justice, 2011-08-17, FR</w:t>
      </w:r>
    </w:p>
    <w:p>
      <w:r>
        <w:rPr>
          <w:b/>
        </w:rPr>
        <w:t xml:space="preserve">Quelle: </w:t>
      </w:r>
      <w:r>
        <w:t>https://mcp.opencaselaw.ch/entscheid/ge_gerichte_ATAS_758_2011</w:t>
      </w:r>
    </w:p>
    <w:p>
      <w:r>
        <w:t>FR: GE_GERICHTE ATAS/758/2011 du 17 août 2011</w:t>
      </w:r>
    </w:p>
    <w:p>
      <w:r>
        <w:t>IT: GE_GERICHTE ATAS/758/2011 del 17 agosto 2011</w:t>
      </w:r>
    </w:p>
    <w:p>
      <w:pPr>
        <w:pStyle w:val="Heading2"/>
      </w:pPr>
      <w:r>
        <w:t>Erwägungen</w:t>
      </w:r>
    </w:p>
    <w:p>
      <w:r>
        <w:rPr>
          <w:b/>
        </w:rPr>
        <w:t>E. 1</w:t>
      </w:r>
    </w:p>
    <w:p>
      <w:r>
        <w:t>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ratione materiae pour juger du cas d’espèce est ainsi établie.</w:t>
      </w:r>
    </w:p>
    <w:p>
      <w:r>
        <w:rPr>
          <w:b/>
        </w:rPr>
        <w:t>E. 2</w:t>
      </w:r>
    </w:p>
    <w:p>
      <w:r>
        <w:t>La LPGA, entrée en vigueur le 1er janvier 2003, est applicable au cas d’espèce. La recourante, domiciliée en France, travaille pour le compte d’un employeur ayant son siège à Genève. Par conséquent, conformément à l’art. 58 al. 2 LPGA, la Cour de céans est compétence ratione loci.</w:t>
      </w:r>
    </w:p>
    <w:p>
      <w:r>
        <w:rPr>
          <w:b/>
        </w:rPr>
        <w:t>E. 3</w:t>
      </w:r>
    </w:p>
    <w:p>
      <w:r>
        <w:t>Les décisions sur opposition sont sujettes à recours dans un délai de trente jours suivant leur notification (cf. art. 56 et 60 LPGA). L'art. 38 al. 2bis LPGA prévoit qu’une communication qui n'est remise que contre la signature du destinataire ou d'un tiers habilité est réputée reçue au plus tard sept jours après la première tentative infructueuse de distribution. L’art. 62 al. 4 de la loi cantonale sur la procédure administrative du 12 septembre 1985 (LPA ; E 5.10), applicable à la procédure devant la Cour de céans conformément à l’art. 89A LPA, prévoit une réglementation identique. Ce délai de sept jours est par ailleurs rappelé dans les Conditions générales « Prestations du service postal » édictées par la Poste en application de l'art. 11 al. 1 de la loi fédérale sur la poste (RS 783.0), dans leur teneur en avril 2009. Il s'agit d'une fiction légale qui n'est pas influencée par le délai de retrait fixé par la poste: que ce délai soit plus long ou ait été prolongé ne modifie pas l'échéance légale des sept jours (DONZALLAZ, Loi sur le Tribunal fédéral, commentaire, n. 1089 ad art. 44 et la référence sous note n° 2553).</w:t>
      </w:r>
    </w:p>
    <w:p>
      <w:r>
        <w:t>A/752/2011 - 5/8 -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135 V 49 ; ATF 119 V 89 consid. 4b/aa p. 94; cf. aussi ATF 123 III 492). Il sied de préciser à cet égard qu’un délai de retrait éventuellement plus long de la poste étrangère n’a aucune influence sur le délai légal de sept jours (cf. ATF 9C_657/2008). En l’espèce, il résulte de l’extrait Track &amp; Trace de la poste et de l’inscription figurant sur l’enveloppe que la première tentative infructueuse de notification a eu lieu le 28 janvier 2011. Le pli sur lequel une vignette autocollante a été apposée par la poste française avec la mention cochée « non réclamé » a été renvoyé à l’intimé le 14 février 2011, reçu le 24 février 2011.Par conséquent, la notification est réputée avoir eu lieu le 4 février 2011, soit le septième jour du délai de garde. Il s’ensuit que contrairement à ce que soutient l’intimé, le recours interjeté en date du 3 mars 2011 l’a été en temps utile. Pour le surplus, la recourante a valablement donné procuration au médecin d’entreprise pour la représenter dans le cadre de la présente procédure. Il convient d’admettre en effet que le litige portant sur l’existence ou non d’une maladie professionnelle, le médecin d’entreprise est un mandataire professionnellement qualifié au sens de l’art. 9 al. 1 LPA. Ce serait faire preuve de formalisme excessif que d’exiger que l’acte de recours soit également signé par la recourante. Au vu de ce qui précède, le recours, interjeté dans les forme et délai prévus par la loi, est recevable.</w:t>
      </w:r>
    </w:p>
    <w:p>
      <w:r>
        <w:rPr>
          <w:b/>
        </w:rPr>
        <w:t>E. 4</w:t>
      </w:r>
    </w:p>
    <w:p>
      <w:r>
        <w:t>Le litige consiste à déterminer si la suspicion de tuberculose contractée par la recourante est une maladie professionnelle dont les conséquences sont à charge de l’intimé.</w:t>
      </w:r>
    </w:p>
    <w:p>
      <w:r>
        <w:rPr>
          <w:b/>
        </w:rPr>
        <w:t>E. 5</w:t>
      </w:r>
    </w:p>
    <w:p>
      <w:r>
        <w:t>Aux termes de l'art. 6 al. 1 LAA, et sous réserve de dispositions spéciales de la loi,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w:t>
      </w:r>
    </w:p>
    <w:p>
      <w:r>
        <w:t>A/752/2011 - 6/8 - que sur l'art. 14 OLAA, le Conseil fédéral a dressé à l'annexe 1 de l'OLAA la liste des substances nocives, d'une part,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La maladie professionnelle est assimilée à un accident professionnel dès le jour où elle s'est déclarée, soit dès que la personne atteinte doit se soumettre pour la première fois à un traitement médical ou est incapable de travailler (cf. art. 9 al. 3 LAA). D'après la jurisprudence, l'exigence d'une relation exclusive ou nettement prépondérante est remplie lorsque la maladie est due pour 75 % au moins à l'exercice d'une telle activité (ATF 126 V 186 consid. 2b, 119 V 201 consid. 2b et la référence). En d'autres termes, il faut que les cas d'atteintes pour un groupe professionnel déterminé soient quatre fois plus nombreux que ceux enregistrés dans la population en général (cf. ATF 116 V 143 consid. 5c; RAMA 1999 no U 326 p. 108 sv. consid. 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2b ; MAURER, Schweizerisches Unfallversicherunsrecht, p. 222)). La question doit être appréciée principalement sur le vu des bases épidémiologiques médicalement reconnues (cf. ATF 126 V 183).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sv. consid. 4c et les références).</w:t>
      </w:r>
    </w:p>
    <w:p>
      <w:r>
        <w:rPr>
          <w:b/>
        </w:rPr>
        <w:t>E. 6</w:t>
      </w:r>
    </w:p>
    <w:p>
      <w:r>
        <w:t>En l’occurrence, la recourante travaille pour le compte d’une entreprise privée active dans le domaine de l’horlogerie. Elle a contracté une primo-infection tuberculeuse - soit une maladie infectieuse - après avoir été en contact, sur son lieu de travail (atelier et restaurant), avec un cas souche, à savoir un collègue atteint de tuberculose active. Or, s’agissant des maladies infectieuses, elles ne peuvent être considérées comme maladies professionnelles au sens de l’art. 9 al. 1 LAA que pour les travailleurs exposés à un risque élevé de contamination ; il s’agit des travaux effectués dans le secteur sanitaire (hôpitaux, laboratoires, instituts de recherches et établissements analogues ; cf. Ordonnance sur l'assurance-accidents, du 20 décembre 1982 - OLAA ; RS 832.202, annexe 1, chiffre 2b).</w:t>
      </w:r>
    </w:p>
    <w:p>
      <w:r>
        <w:t>A/752/2011 - 7/8 - Le cas d’espèce doit par conséquent être examiné au regard des conditions posées par l’art. 9 al. 2 LAA, dès lors qu’il est constant que la recourante n’a pas été exposée à des substances nocives ou à certains travaux au sens de l’art. 9 al. 1 LAA. En dehors des établissements sanitaires, une maladie infectieuse peut être reconnue comme une maladie professionnelle au sens et aux conditions de l’art. 9 al. 2 LAA lors de travaux effectués dans des secteurs où le risque de contamination est élevé en raison de concentrations de populations ou de communautés au sein desquelles la prévalence de cette maladie est élevée, tels que les Centres d’enregistrement et de procédure (CEP) de la Confédération pour requérants d’asile, les foyers d’urgence et d’accueil, les établissements pénitentiaires, etc. (cf. Manuel de la tuberculose 2011, édité par l’OFPS et la Ligue pulmonaire suisse, www.tbinfo.ch; brochure suvaPro, version 2010). Force est de constater que l’on ne saurait assimiler l’activité exercée par la recourante dans une entreprise horlogère comme présentant un risque accru de contamination. Partant, la primo-infection contractée par la recourante à son lieu de travail ne peut être considérée comme une maladie professionnelle au sens de l’art.</w:t>
      </w:r>
    </w:p>
    <w:p>
      <w:r>
        <w:rPr>
          <w:b/>
        </w:rPr>
        <w:t>E. 9</w:t>
      </w:r>
    </w:p>
    <w:p>
      <w:r>
        <w:t>al. 2 LAA. Le médecin d’entreprise objecte qu’il a suivi les recommandations de l’OFSP et du médecin cantonal. A cet égard, la Cour de céans relève que, certes, la tuberculose est une maladie à déclaration obligatoire pour les médecins et les laboratoires (cf. Loi fédérale du 18 décembre 1970 sur la lutte contre les maladies transmissibles de l’homme - Loi sur les épidémies, LEp, RS 818.101 ; Ordonnance sur la déclaration des maladies transmissibles du 13 janvier 1999 - RS 818.141.1), qu’elle implique un plan de traitement et de prévention, ainsi que la mise en place d’une procédure pour une enquête d’entourage, pour la remise de médicaments sous contrôle direct (Directly Observed Treatment - DOT) et pour le dépistage auprès des employés. Cela étant, il n’en demeure pas moins que du point de vue assécurologique, l’affection en cause doit satisfaire aux conditions légales pour être admise comme maladie professionnelle et prise en charge par l’assureur intimé, ce qui n’est pas le cas ici. Les frais de traitement et les examens sont ainsi à la charge de l’assurance- maladie de la recourante, étant précisé que les cantons peuvent prendre en charge les frais d’enquête d’entourage, s’agissant d’une tâche relevant des autorités cantonales de santé publique (cf. art. 11 ss, notamment 18 LEp). Au vu de ce qui précède, c’est à juste titre que l’intimé a refusé la prise en charge des frais liés à la primo-infection. 7. Mal fondé, le recours doit être rejeté.</w:t>
      </w:r>
    </w:p>
    <w:p>
      <w:r>
        <w:t>A/752/2011 - 8/8 -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