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ATAS/757/2023 vom 6. Oktober 2023</w:t>
      </w:r>
    </w:p>
    <w:p>
      <w:r>
        <w:t>GE Cour de justice, 2023-10-06, FR</w:t>
      </w:r>
    </w:p>
    <w:p>
      <w:r>
        <w:rPr>
          <w:b/>
        </w:rPr>
        <w:t xml:space="preserve">Quelle: </w:t>
      </w:r>
      <w:r>
        <w:t>https://mcp.opencaselaw.ch/entscheid/ge_gerichte_ATAS_757_2023</w:t>
      </w:r>
    </w:p>
    <w:p>
      <w:r>
        <w:t>FR: GE_GERICHTE ATAS/757/2023 du 6 octobre 2023</w:t>
      </w:r>
    </w:p>
    <w:p>
      <w:r>
        <w:t>IT: GE_GERICHTE ATAS/757/2023 del 6 ottobre 2023</w:t>
      </w:r>
    </w:p>
    <w:p>
      <w:pPr>
        <w:pStyle w:val="Heading2"/>
      </w:pPr>
      <w:r>
        <w:t>Erwägungen</w:t>
      </w:r>
    </w:p>
    <w:p>
      <w:r>
        <w:rPr>
          <w:b/>
        </w:rPr>
        <w:t>E. 2</w:t>
      </w:r>
    </w:p>
    <w:p>
      <w:r>
        <w:t>octobre 2023 pour communiquer, sous peine d’irrecevabilité, la preuve de l’incapacité à recourir dans le délai à l’encontre de la décision du 12 juin 2023 ; Que, le 2 octobre 2023, l’assurée a indiqué, s’agissant du calcul du délai de recours, qu’elle s’était fiée aux renseignements de l’OAI et de l’APAS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60 al. 1 LPGA, le recours doit être déposé dans les trente jours suivant la notification de la décision sujette à recours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délais en jours ou en mois fixés par la loi ou par l'autorité ne courent pas : a) du 7e jour avant Pâques au 7e jour après Pâques inclusivement; b) du 15 juillet au 15 août inclusivement; c) du 18 décembre au 2 janvier inclusivement (art. 38 al. 4 LPGA et art.89C LPA) ; Que les écrits doivent parvenir à l'autorité ou être mis à son adresse à un bureau de poste suisse ou à une représentation diplomatique ou consulaire suisse au plus tard le dernier jour du délai avant minuit (cf. art. 38 à 39 LPGA et art. 17 LPA) ; Que le délai légal ne peut être prolongé (art. 40 al. 1 LPGA et 16 al. 1 LPA) ; qu’en effet, la sécurité du droit exige que certains actes ne puissent plus être accomplis passé</w:t>
      </w:r>
    </w:p>
    <w:p>
      <w:r>
        <w:t>- 3/4-</w:t>
      </w:r>
    </w:p>
    <w:p>
      <w:r>
        <w:t>A/2614/2023 un certain laps de temps : un terme est ainsi mis aux possibilités de contestation, de telle manière que les parties sachent avec certitude que l’acte qui est l’objet de la procédure est définitivement entré en force (Pierre MOOR, Droit administratif, vol. 2, Berne 1991, p. 181) ; Qu’aux termes de l'art. 41 LPGA (applicable selon l’art. 1 al. 1 LAI,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 l'art. 41 al. 1 LPGA subordonne la restitution à l'absence de toute faute quelconque ; que par « empêchement non fautif » d'accomplir un acte de procédure, il faut comprendre non seulement l'impossibilité objective ou la force majeure – par exemple en raison d'une maladie psychique entrainant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 que ces circonstances doivent toutefois être appréciées objectivement : est non fautive toute circonstance qui aurait empêché un plaideur - respectivement un mandataire - consciencieux d'agir dans le délai fixé (arrêt du Tribunal fédéral 9C_54/2017 du 2 juin 2017 consid. 2.2) ; Que la question de la restitution du délai ne se pose pas dans l’éventualité où la partie ou son mandataire n’a pas été empêché d’agir à temps ; que c’est le cas notamment lorsque l’inaction résulte d’une faute, d’un choix délibéré ou d’une erreur, en particulier de calcul (arrêt du Tribunal fédéral 6F_28/2018 du 17 octobre 2018 consid. 2) ; Qu’en l’espèce, la décision querellée a été rendue le 12 juin 2023 et notifiée à la recourante le jour de sa distribution à la poste, 15 juin 2023 ; Que le délai de recours de 30 jours a commencé à courir le 16 juin 2023 et s’est terminé le 16 août 2023 (compte tenu de la suspension du 15 juillet au 15 août inclusivement) ; Qu’interjeté le 17 août 2023, le recours est tardif ; Que la recourante fait valoir qu’elle s’est fiée de bonne foi à des renseignements erronés de sa référente auprès de l’OAI et de l’APAS ; Qu’il ressort ainsi de ses explications que la tardiveté de son recours est due à une erreur de calcul de délai ; Que, même à considérer que l’erreur serait due à un renseignement erroné de la part de l’administration, ce qui n’est pas établi, force est de relever qu’une erreur de calcul n’est pas excusable ; Qu’en effet, la décision entreprise mentionne expressément que le délai de trente jours court dès sa notification et qu’il est suspendu du 15 juillet au 15 août inclusivement ;</w:t>
      </w:r>
    </w:p>
    <w:p>
      <w:r>
        <w:t>- 4/4-</w:t>
      </w:r>
    </w:p>
    <w:p>
      <w:r>
        <w:t>A/2614/2023 Que dans ces conditions le recours sera déclaré irrecevable. Qu’il sera renoncé à percevoir un émolument.</w:t>
      </w:r>
    </w:p>
    <w:p>
      <w:r>
        <w:t>***</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