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ATAS/757/2016 vom 26. September 2016</w:t>
      </w:r>
    </w:p>
    <w:p>
      <w:r>
        <w:t>GE Cour de justice, 2016-09-26, FR</w:t>
      </w:r>
    </w:p>
    <w:p>
      <w:r>
        <w:rPr>
          <w:b/>
        </w:rPr>
        <w:t xml:space="preserve">Quelle: </w:t>
      </w:r>
      <w:r>
        <w:t>https://mcp.opencaselaw.ch/entscheid/ge_gerichte_ATAS_757_2016</w:t>
      </w:r>
    </w:p>
    <w:p>
      <w:r>
        <w:t>FR: GE_GERICHTE ATAS/757/2016 du 26 septembre 2016</w:t>
      </w:r>
    </w:p>
    <w:p>
      <w:r>
        <w:t>IT: GE_GERICHTE ATAS/757/2016 del 26 settembre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A/62/2016 - 12/17 - Sa compétence pour juger du cas d’espèce est ainsi établie.</w:t>
      </w:r>
    </w:p>
    <w:p>
      <w:r>
        <w:rPr>
          <w:b/>
        </w:rPr>
        <w:t>E. 2</w:t>
      </w:r>
    </w:p>
    <w:p>
      <w:r>
        <w:t>Interjeté dans les forme et délai prévus par la loi, le présent recours est recevable (art. 56 ss LPGA).</w:t>
      </w:r>
    </w:p>
    <w:p>
      <w:r>
        <w:rPr>
          <w:b/>
        </w:rPr>
        <w:t>E. 3</w:t>
      </w:r>
    </w:p>
    <w:p>
      <w:r>
        <w:t>Le litige porte sur le droit du recourant aux prestations de l’intimée, singulièrement sur la question de savoir si la pathologie dont il souffre relève d’une maladie professionnelle. a. Selon l’art. 6 al. 1 LAA, si la présente loi n'en dispose pas autrement, les prestations d'assurance sont allouées en cas d'accident professionnel, d'accident non professionnel et de maladie professionnelle. Selon l’art. 9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 (al. 3). Selon l’art. 14 de l’ordonnance sur l'assurance-accidents du 20 décembre 1982 (OLAA - RS 832.202), les substances nocives et les maladies dues à certains travaux au sens de l'art. 9, al. 1, de la loi, sont énumérées à l'annexe. b. La clause générale de l'article 9 al. 2 LAA répond au besoin de combler d'éventuelles lacunes qui subsisteraient dans la liste que le Conseil fédéral est chargé d'établir en vertu de l'art. 9 al. 1 LAA (ATF 116 V 136 consid. 5a et les références). La condition d’un lien exclusif ou nettement prépondérant n’est réalisée que si la maladie a été causée à 75 % au moins par l’exercice de l’activité professionnelle (ATF 126 V 183 consid. 2b; ATF 119 V 200 consid. 2b). En d'autres termes, il faut que les cas d'atteintes pour un groupe professionnel déterminé soient quatre fois plus nombreux que ceux enregistrés dans la population en général (ATF 116 V 136 consid. 5c). Si les données statistiques font défaut, il faut utiliser les données cliniques (Arrêt du Tribunal fédéral des assurances U 235/99 du 22 septembre 2000).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l'article 9 al. 2 LAA (cf. ATF 126 V 183). Les conditions d’application de l’art. 9 al. 2 LAA ne sont susceptibles d’être remplies que dans de rares situations compte tenu des exigences posées. Elles supposent en tout cas que la maladie résulte de l’exposition d’une certaine durée à un risque professionnel</w:t>
      </w:r>
    </w:p>
    <w:p>
      <w:r>
        <w:t>A/62/2016 - 13/17 - typique ou inhérent. Un événement unique et par conséquent un simple rapport de simultanéité ne suffisent pas (ATF 126 V 183 consid. 2 b; Arrêt du Tribunal fédéral des assurances U 381/01 du 20 mars 2003 consid. 3.1). À plusieurs reprises, le Tribunal fédéral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(notamment ATF 126 V 183). Dans ces affaires, la Haute Cour a rappelé que, en médecine générale, la relation de cause à effet ne peut que rarement être tirée ou déduite à la manière d’une science mathématique. Compte tenu du caractère empirique de la médecine, lorsqu’une preuve directe ne peut être rapportée à propos d’un état de fait médical, il est bien plutôt nécessaire de procéder à des comparaisons avec d’autres cas d’atteintes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La preuve de la causalité qualifiée peut être apportée par des données épidémiologiques (FRESARD/MOSER-SZELLES, L'assurance-accidents obligatoire, in : Schweizerisches Bundesverwaltungsrecht [SBVR], 2ème éd., no 113 ss). Ainsi, si la preuve d’une relation de causalité qualifiée selon l’expérience médicale ne peut pas être apportée de manière générale, l’admission de celle-ci dans le cas particulier est exclue. En revanche, si les connaissances médicales générales actuelles et largement partagées par la communauté des spécialistes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 let. b; ATF 125 V 193 consid. 2 et les références).</w:t>
      </w:r>
    </w:p>
    <w:p>
      <w:r>
        <w:t>A/62/2016 - 14/17 -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une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d'un assuré. Ce n'est qu'en présence de circonstances particulières que les doutes au sujet de l'impartialité d'une appréciation peuvent être considérés comme objectivement fondés (ATF 125 V 351 consid. 3b/ee). La valeur probante du rapport médical émanant du médecin traitant doit être relativisée, au motif que celui-ci peut être enclin, en cas de doute, à prendre partie pour son patient en raison de la relation de confiance qu'ils ont nouée, puisqu'il est lié par un contrat de mandat (ATF 125 V 351 consid. 3b/cc).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A/62/2016 - 15/17 -</w:t>
      </w:r>
    </w:p>
    <w:p>
      <w:r>
        <w:rPr>
          <w:b/>
        </w:rPr>
        <w:t>E. 5</w:t>
      </w:r>
    </w:p>
    <w:p>
      <w:r>
        <w:t>En l’occurrence, le recourant fait valoir qu’il subit une maladie professionnelle par la survenance d’une allergie au baume du Pérou, voire au RMB, composants qui se retrouvent dans plusieurs matières présentes sur les chantiers avec lesquelles il est en contact de par son activité professionnelle ; quant à l’intimée elle nie tout lien de causalité entre l’atteinte présentée par le recourant et l’activité professionnelle. Dans son avis du 20 juillet 2015, la Dresse G______, médecin-conseil de l’intimée, a estimé qu’il n’y avait pas de lien entre l’atteinte dermatologique présentée par le recourant et l’activité professionnelle. Questionnés sur la présence chez le recourant d’une éventuelle maladie professionnelle, les médecins qui ont traité le recourant l’ont niée. En effet, la Dresse F______ (avis du 1er avril 2016) a indiqué que celui- ci présentait une urticaire factice qui n’était pas induit par le baume du Pérou mais qui pourrait être péjoré par un travail manuel et le port de souliers de protection et que cette affection n’était pas une maladie professionnelle. Elle a certes indiqué subséquemment dans le certificat médical du 21 avril 2016 qu’il s’agissait d’un accident avec la mention « AI en cours maladie professionnelle ». Le recourant y voit une contradiction ; cependant au vu du rapport médical circonstancié de la Dresse O_____ du 1er avril 2016, cette mention se réfère manifestement à la demande AI du recourant laquelle invoque une maladie professionnelle (formulaire de détection précoce du 2 mai 2015). Quant au Dr D______ (avis du 30 mars 2016), il a indiqué qu’il n’y avait pas de baume du Pérou dans l’environnement professionnel du recourant et que la dermatose eczématiforme récidivante palmo-plantaire avec un contexte d’urticaire physique pouvait être aggravée par l’activité professionnelle mais que l’activité d’électricien n’était pas à l’origine du problème dermatologique. Certes, il apparaît, comme l’a invoqué le recourant, que des matériaux de chantier pourraient contenir du Baume du Pérou, composant qui se retrouve dans toute une série de produits, tels que des huiles de coupe, des peintures, des vernis et colles (article intitulé « dermatose professionnelle au baume du Pérou » - pièce recourant). Cependant, les Drs N_____ et D______ ont exclu que la pathologie cutanée du recourant soit en lien avec le baume du Pérou. L’affirmation du Dr J______ (avis du 4 mars 2016) selon laquelle le recourant présentait une maladie professionnelle sous la forme d’une réaction allergique au baume du Pérou a ainsi été contredite par les spécialistes en dermatologie. Au vu des avis convergents des Drs G______, N_____ et D______, lesquels ont uniquement admis que le travail manuel et le port de souliers de protection pouvaient péjorer la maladie, la chambre de céans ne peut que constater que les atteintes dont souffre le recourant ne sont en conséquence pas dues de manière prépondérante à l’activité professionnelle. Dans ces conditions, on ne saurait admettre que le recourant présente, au degré de la vraisemblance prépondérante, une maladie professionnelle au sens de l’art. 9 LAA, de sorte que la décision litigieuse ne peut qu’être confirmée.</w:t>
      </w:r>
    </w:p>
    <w:p>
      <w:r>
        <w:rPr>
          <w:b/>
        </w:rPr>
        <w:t>E. 6</w:t>
      </w:r>
    </w:p>
    <w:p>
      <w:r>
        <w:t>Partant, le recours sera rejeté.</w:t>
      </w:r>
    </w:p>
    <w:p>
      <w:r>
        <w:t>A/62/2016 - 16/17 - L'assureur n'a pas droit à des dépens (art. 89H al. 3 LPA). Pour le surplus, la procédure est gratuite (art. 61 let. a LPGA).</w:t>
      </w:r>
    </w:p>
    <w:p>
      <w:r>
        <w:t>A/62/2016 - 17/17 -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