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ATAS/757/2013 vom 29. Juli 2013</w:t>
      </w:r>
    </w:p>
    <w:p>
      <w:r>
        <w:t>GE Cour de justice, 2013-07-29, FR</w:t>
      </w:r>
    </w:p>
    <w:p>
      <w:r>
        <w:rPr>
          <w:b/>
        </w:rPr>
        <w:t xml:space="preserve">Quelle: </w:t>
      </w:r>
      <w:r>
        <w:t>https://mcp.opencaselaw.ch/entscheid/ge_gerichte_ATAS_757_2013</w:t>
      </w:r>
    </w:p>
    <w:p>
      <w:r>
        <w:t>FR: GE_GERICHTE ATAS/757/2013 du 29 juillet 2013</w:t>
      </w:r>
    </w:p>
    <w:p>
      <w:r>
        <w:t>IT: GE_GERICHTE ATAS/757/2013 del 29 luglio 2013</w:t>
      </w:r>
    </w:p>
    <w:p>
      <w:pPr>
        <w:pStyle w:val="Heading2"/>
      </w:pPr>
      <w:r>
        <w:t>Erwägungen</w:t>
      </w:r>
    </w:p>
    <w:p>
      <w:r>
        <w:rPr>
          <w:b/>
        </w:rPr>
        <w:t>E. 1</w:t>
      </w:r>
    </w:p>
    <w:p>
      <w:r>
        <w:t>a)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b)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5C.41/2001 du</w:t>
      </w:r>
    </w:p>
    <w:p>
      <w:r>
        <w:rPr>
          <w:b/>
        </w:rPr>
        <w:t>E. 3</w:t>
      </w:r>
    </w:p>
    <w:p>
      <w:r>
        <w:t>a) Selon l’art. 85 de la loi fédérale sur la surveillance des entreprises d’assurance du 17 décembre 2004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 En cette matière, l'assureur n'a pas de compétence décisionnelle (ATAS/233/2010); il ne peut prendre de décision sujette à recours, à l'instar de ce qui se fait dans l'assurance-maladie obligatoire. L'assuré peut faire valoir ses droits en ouvrant directement une action contre l'assureur devant l'autorité compétente en vertu du droit cantonal. b) La présente demande qui répond aux réquisits de forme (art. 130, 244 CPC) est donc recevable.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5</w:t>
      </w:r>
    </w:p>
    <w:p>
      <w:r>
        <w:t>L'objet du litige porte sur le droit de la demanderesse aux indemnités journalières de la défenderesse, singulièrement sur la question de l'existence d'un droit de passage de la demanderesse dans l'assurance individuelle de la défenderesse.</w:t>
      </w:r>
    </w:p>
    <w:p>
      <w:r>
        <w:rPr>
          <w:b/>
        </w:rPr>
        <w:t>E. 6</w:t>
      </w:r>
    </w:p>
    <w:p>
      <w:r>
        <w:t>a) La police d'assurance renvoie aux CGA édition 1998 et aux conditions supplémentaires édition 2001. Un avenant à la police renvoie aux CGA 2005 en spécifiant que celles-ci ne contiennent aucune modification de fond et que les</w:t>
      </w:r>
    </w:p>
    <w:p>
      <w:r>
        <w:t>A/105/2013 - 7/15 - conditions supplémentaires sont intégrées dans les CGA sous le titre "conditions particulières d'assurance (CPA)". Le cas d'espèce est ainsi soumis aux CGA 2005. b) L'art. 25 CGA prévoit qu'après expiration de la couverture d'assurance, l'obligation de verser des prestations incombant à la défenderesse s'éteint selon l'art. 42, la couverture d'assurance prend fin notamment lors du départ de l'entreprise assurée. L'art. 43 CGA prévoit qu'en cas de sortie du groupe des assurés ou d'extinction du contrat, l'assuré domicilié en Suisse ou dans la principauté du Liechtenstein a le droit de passer dans l'assurance individuelle. Il doit pour cela faire valoir son droit de passage par écrit dans les 90 jours. Cette disposition s'applique également aux personnes au chômage au sens de l'art. 10 LACI. Les frontaliers sont assimilés aux assurés résidant en Suisse, pour autant qu'ils soient domiciliés aux environs immédiats de la frontière. c) Les conditions générales d'assurance et les conditions spéciales pour les assurances complémentaires selon la LCA (CS) prévoient une assurance d'indemnité journalière SALARIA selon la LCA (CS SALARIA). L'art. 5 CS SALARIA stipule que l'assurance est limitée à la Suisse et à la Principauté du Liechtenstein. Les assurés qui tombent malade à l'étranger ont droit aux prestations pendant 10 jours. Demeurent réservés les séjours hospitaliers, dans la mesure où ils sont médicalement nécessaires. Lorsqu'un assuré en incapacité de travail se rend à l'étranger sans le consentement de SWICA, il n'existe aucun droit de prestations pendant la durée du séjour. Les restrictions en vertu des alinéas 1 à 3 ne s'appliquent aux frontaliers que lorsqu'ils séjournent en dehors de la zone frontalière. Selon l'art. 18 al. 4 CS SALARIA, l'assurance s'éteint automatiquement, même sans résiliation, lorsque l'assuré a son lieu de résidence habituel depuis trois mois à l'étranger. Les frontaliers peuvent rester assurés aussi longtemps qu'ils sont au bénéfice d'une indemnité de chômage et qu'ils peuvent justifier une perte de gain en cas d'incapacité de travail. Selon l'art. 3 CS SALARIA, est réputée maladie toute atteinte à la santé physique ou mentale qui n'est pas due à un accident et qui exige un examen ou un traitement ou provoque une incapacité de travail. Selon l'art. 8 al. 1 CS SALARIA, lorsque l'assuré se trouve dans une incapacité de travail attestée médicalement, SWICA verse, en cas d'incapacité totale de travail, l'indemnité journalière assurée correspondant à la perte de gain effective et prouvée.</w:t>
      </w:r>
    </w:p>
    <w:p>
      <w:r>
        <w:t>A/105/2013 - 8/15 -</w:t>
      </w:r>
    </w:p>
    <w:p>
      <w:r>
        <w:rPr>
          <w:b/>
        </w:rPr>
        <w:t>E. 7</w:t>
      </w:r>
    </w:p>
    <w:p>
      <w:r>
        <w:t>a) En l'espèce, la Cour de céans constate qu'en application des art. 25 et 42 CGA, la couverture d'assurance et l'obligation de prester de la défenderesse ont pris fin au 30 septembre 2011, date à laquelle le licenciement de la demanderesse a pris effet (cf. dans ce sens ATAS/1203/2011 du 6 décembre 2011 et ATAS/422/2013 du 25 avril 2013). Au-delà de cette date, aucune prestation n'est due en vertu du contrat collectif d'indemnités journalières. Reste à examiner si la défenderesse est tenue à prestation sur la base de la couverture d'assurance individuelle. b) En l'occurrence, la défenderesse prétend que la demanderesse ne peut bénéficier d'un droit de passage dans l'assurance individuelle au motif que l'assurance SALARIA est limitée à la Suisse et à la principauté du Lichtenstein selon l'art. 5 al. 1 CS SALARIA. Cet avis ne saurait être suivi. En effet, l'art. 43 CGA prévoit expressément que l'assuré collectif frontalier est assimilé à un assuré résidant en Suisse s'il est domicilié aux environs immédiat de la frontière, ce qui est le cas en l'espèce, la demanderesse étant domiciliée à St-Julien-en-Genevois; et ce qui n'est d'ailleurs pas contesté par la défenderesse. Par ailleurs, l'assurance SALARIA prévoit que les restrictions des alinéas 1 à 3 de l'art. 5 CS SALARIA ne s'appliquent aux frontaliers que lorsqu'ils séjournent en dehors de la zone frontalière (art. 5 al. 4 CS SALARIA) et l'art. 18 al. 4 CS SALARIA qui traite de l'extinction du contrat en cas de domicile à l'étranger fait une exception pour les frontaliers, de sorte qu'il apparait clairement que cette assurance est également prévue pour ces derniers. La défenderesse estime enfin que seuls les frontaliers au bénéfice de prestations en cours au jour de la sortie du groupe des assurés peuvent bénéficier du droit de passage dans l'assurance individuelle SALARIA. Cette restriction ne ressort toutefois d'aucune disposition des CGA ou des CS SALARIA, le droit de passage prévu à l'art. 43 CGA n'étant pas soumis à condition, en particulier les cas d'exclusion du droit de passage prévu à l'art. 48 CGA ne recouvrent pas le cas de figure énoncé par la défenderesse. c) Au vu de ce qui précède, il convient de constater que la demanderesse, sortie du cercle des assurés au jour de la résiliation de son contrat de travail le 30 septembre 2011 (art. 42 CGA), a valablement fait valoir son droit de passage dans l'assurance individuelle le 15 décembre 2011, soit dans le délai de 90 jours fixé à l'art. 43 CGA de sorte que dès le 1er octobre 2011 (art. 45 CGA), elle avait le droit de bénéficier, en tant que frontalière, de l'assurance individuelle SALARIA, aux conditions existant lors de l'affiliation à l'assurance collective (art. 46 CGA) et que cette couverture d'assurance a pris effet à cette date.</w:t>
      </w:r>
    </w:p>
    <w:p>
      <w:r>
        <w:t>A/105/2013 - 9/15 -</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La LCA ne contient pas de règles d'interprétation des contrats. Comme elle renvoie au code des obligations pour tout ce qu'elle ne règle pas elle-même (art. 100 al. 1</w:t>
      </w:r>
    </w:p>
    <w:p>
      <w:r>
        <w:t>A/105/2013 - 10/15 -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w:t>
      </w:r>
    </w:p>
    <w:p>
      <w:r>
        <w:rPr>
          <w:b/>
        </w:rPr>
        <w:t>E. 9</w:t>
      </w:r>
    </w:p>
    <w:p>
      <w:r>
        <w:t>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w:t>
      </w:r>
    </w:p>
    <w:p>
      <w:r>
        <w:t>A/105/2013 - 11/15 -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b) Selon l'art. 9 CS SALARIA,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plus de trois mois, l'activité qui peut être exigée de lui peut aussi relever d'une autre profession ou d'un autre domaine d'activité. Selon l'art. 23 CS SALARIA, une personne assurée incapable de travailler dans la profession qu'elle exerçait précédemment est tenue de chercher dans les trois mois un travail dans une autre branche d'activité lucrative ou de s'annoncer à l'assurance- invalidité ou à l'assurance-chômage (al. 1). Si la capacité résiduelle de travail n'est pas exploitée, le calcul de l'indemnité journalière sera effectué en tenant compte de l'obligation incombant à la personne assurée de réduire les conséquences du dommage (al. 2). Si le cas n'est pas annoncé à l'assurance-chômage ou à l'assurance-invalidité, SWICA est en droit de suspendre le versement de l'indemnité journalière. Les prestations éventuelles seront calculées en tenant compte des montants présumés qui devront être pris en charge par ces assurances.</w:t>
      </w:r>
    </w:p>
    <w:p>
      <w:r>
        <w:rPr>
          <w:b/>
        </w:rPr>
        <w:t>E. 10</w:t>
      </w:r>
    </w:p>
    <w:p>
      <w:r>
        <w:t>a) En l'occurrence, il convient de constater que la demanderesse a subi le 11 juin 2011 un accident, soit une fracture de la cheville gauche, suite à une luxation du genou gauche, qui, elle, est une maladie (rapport CEMed du 1er septembre 2013 p. 3) ayant provoqué la chute. L'accident a été pris en charge par SWICA LAA jusqu'au 18 avril 2012. Il apparait, au vu des pièces médicales au dossier et au degré de la vraisemblance prépondérante, que la luxation du genou gauche le 1er juin 2011 a entraîné la nécessité de procéder à une stabilisation du genou gauche, laquelle était devenue inévitable et qui n'a pu être pratiquée que le 6 mars 2012 en raison de la fracture de</w:t>
      </w:r>
    </w:p>
    <w:p>
      <w:r>
        <w:t>A/105/2013 - 12/15 - la cheville gauche, elle-même compliquée par une pseudarthrose ayant rendu nécessaire l'intervention du 17 octobre 2011. Finalement, l'intervention du 6 mars 2012 a entraîné une incapacité de travail totale du 6 mars au 31 octobre 2012. En effet, la demanderesse a présenté plusieurs épisodes de luxation de la rotule gauche dont une le 1er juin 2011; ces épisodes n'avaient auparavant pas empêché la demanderesse de travailler (rapport CEMed p. 10). Une stabilisation chirurgicale de la rotule gauche a été cependant prévue après la luxation du 1er juin 2011 mais n'a pu se faire en même temps que l'intervention de cure de pseudarthrose de la cheville (rapport CEMed p. 9) et a finalement eu lieu le 6 mars 2012. Le Dr D__________ a attesté le 2 novembre 2012 que les troubles liés au genou gauche, suite à la luxation, avaient eu comme conséquence une incapacité de travail jusqu'au 2 novembre 2012. Il était logique après la luxation du 1er juin 2011 ayant entraîné une fracture de procéder à une stabilisation rotulienne comme cela avait été le cas le 6 mars 2012. Le Dr A__________ a également attesté le 9 juin 2012 que l'accident du 1er juin 2011 avait entraîné l'intervention de stabilisation rotulienne du 6 mars 2012. Dans un rapport à la défenderesse du 24 juin 2011, soit trois semaines après l'accident du 1er juin 2011, le Dr A__________ avait précisé que l'assurée était plâtrée pour la cheville gauche mais qu'elle devait se faire opérer pour son genou gauche. Le rapport du CEMed a relevé que l'instabilité rotulienne gauche n'avait pas d'impact sur la capacité de travail de la demanderesse (rapport du CEMed p. 12) car elle avait toujours travaillé alors que les épisodes de luxation de la rotule gauche avaient débutés en 2000 mais a admis que l'intervention de stabilisation de la rotule était envisagée suite à la luxation du 1er juin 2011 et que la demanderesse se plaignait de douleurs internes et antéro-internes depuis l'accident (rapport CEMed p. 10). Ce rapport a par ailleurs été rendu en décembre 2011, soit antérieurement à l'intervention du 6 mars 2012 et ne s'est pas prononcé sur la nécessité d'une telle intervention et la justification de l'incapacité de travail subséquente. La maladie, soit la luxation du genou gauche le 1er juin 2011 est ainsi à l'origine de l'incapacité de travail qui a suivi, en particulier suite à l'intervention du 6 mars 2012, même si la recourante a présenté, dans le même temps une fracture, soit un cas accident, ayant entraîné une incapacité de travail totale jusqu'au 18 avril 2012. Conformément à l'art. 36 LAA, SWICA LAA a pris le cas en charge depuis le 1er juin 2011, indépendamment du fait de savoir si un cas maladie jouait un rôle dans la survenance de l'incapacité de travail. Aucun rapport médical au dossier, pas plus que la défenderesse elle-même, ne conteste d'ailleurs la nécessité d'un arrêt total d'activité de la demanderesse suite à l'intervention du 6 mars 2012 jusqu'au 2 novembre 2012, tel qu'attesté par les Drs D__________ et A__________.</w:t>
      </w:r>
    </w:p>
    <w:p>
      <w:r>
        <w:t>A/105/2013 - 13/15 - Ainsi, la demanderesse a continué à présenter une incapacité de travail totale au- delà du 18 avril 2012, en lien avec la luxation du genou gauche du 1er juin 2011 et en particulier suite à l'intervention du 6 mars 2012 nécessitée par cette dernière. b) Il convient ainsi de constater que la défenderesse est tenue d'allouer à la demanderesse l'indemnité journalière pour la période d'incapacité de travail du 19 avril au 31 octobre 2012, sur la base des CGA et des CS SALARIA. La question d'une éventuelle obligation de la demanderesse de chercher un emploi dans une activité adaptée à son état de santé (art. 61 LCA; art. 9 et 23 CS SALARIA) peut rester ouverte dès lors que l'incapacité de travail a été prescrite dans toute activité (avis des Drs A__________ et D__________ des 9 et 18 juin, 17 juillet, 27 août et 2 novembre 2012) et qu'en toute hypothèse la défenderesse n'a pas imparti clairement à la demanderesse un délai pour changer d'activité, nécessaire pour justifier la cessation des prestations (ATF 133 III 527 précité). c) L'indemnité journalière correspond, selon l'art. 32 CGA et la police d'assurance, au 80 % du salaire assuré, soit un salaire de 3'872 fr. 75. L'indemnité journalière est ainsi de 101 fr. 60 [(3'872 fr. 75 x 12 : 366 (année bissextile en 2012) x 80 %]. L'incapacité de travail est attestée du 19 avril au 31 octobre 2012 soit pendant 196 jours. Le montant dû par la défenderesse s'élève ainsi à 196 x 101 fr. 60 = 19'913 fr. 60. La demanderesse étant débitrice des primes de l'assurance individuelle (art. 26 CS SALARIA), il convient de condamner la défenderesse au paiement de 19'913 fr. 60, sous déduction des primes d'assurance dues par la demanderesse dès octobre 2011. Celles-ci s'élèvent selon la défenderesse (courrier du 2 juillet 2013) à 88 fr. 60 par mois, de sorte que du 1er octobre 2011 au 31 octobre 2012 la demanderesse était débitrice d'un montant total de prime de 1'151 fr. 80. En conséquence, le montant total à charge de la défenderesse est de 18'761 fr. 80 (19'913 fr. 60 – 1'151 fr. 80).</w:t>
      </w:r>
    </w:p>
    <w:p>
      <w:r>
        <w:rPr>
          <w:b/>
        </w:rPr>
        <w:t>E. 11</w:t>
      </w:r>
    </w:p>
    <w:p>
      <w:r>
        <w:t>La demanderesse requiert le paiement d'intérêts depuis le 18 avril 2012. L'art. 104 al. 1 CO précise que le débiteur qui est en demeure pour le paiement d’une somme d’argent doit l’intérêt moratoire à 5 % l’an, même si un taux inférieur avait été fixé pour l’intérêt conventionnel. L'intérêt moratoire est dû à partir du jour suivant celui où le débiteur a reçu l'interpellation ou, en cas d'ouverture d'une action en justice, dès le lendemain du jour où la demande en justice a été notifiée au débiteur (Luc THÉVENOZ, Commentaire romand du Code des obligations I, 2ème éd. 2012, n. 9 ad art. 104 CO; ATF non publié 5C.177/2005 du 25 février 2006, consid. 6.1).</w:t>
      </w:r>
    </w:p>
    <w:p>
      <w:r>
        <w:t>A/105/2013 - 14/15 - En l'espèce, la défenderesse a été interpellée par la demanderesse par l'envoi du vendredi 24 août 2012 lui réclamant le paiement de l'indemnité journalière maladie et dont il convient d'admettre qu'envoyé en courrier simple il a au moins été reçu par la défenderesse le mercredi 29 août 2012, de sorte que des intérêts sont dus dès le 30 août 2012 pour l'indemnité journalière due du 19 avril au 30 août 2012, laquelle se monte au total à 13'614 fr. 40 (134 jours x 101 fr. 60), sous déduction des primes dues par la demanderesse du 1er octobre 2011 au 31 août 2012 soit 974 fr. 60. Le 15 janvier 2013, la demanderesse a introduit la présente demande, laquelle a été transmise à la défenderesse le 16 janvier 2013 et dont il convient d'admettre que celle-ci l'a reçue à tout le moins le lundi 21 janvier 2013 de sorte que l'intérêt moratoire est dû pour l'indemnité journalière due du 31 août au 31 octobre 2012 dès le 21 janvier 2013, soit un montant de 6'299 fr. 20 (62 jours x 101 fr. 60), sous déduction des primes dues pour septembre et octobre 2012 soit 177 fr. 20. Partant, la défenderesse sera condamnée à payer à la demanderesse un montant de 12'639 fr. 80 (13'614 fr. 40 – 974 fr. 60) avec intérêt à 5 % l'an dès le 30 août 2012 et un montant de 6'122 fr. (6'299 fr. 20 – 177 fr. 20) avec intérêt à 5 % l'an dès le 21 janvier 2013.</w:t>
      </w:r>
    </w:p>
    <w:p>
      <w:r>
        <w:rPr>
          <w:b/>
        </w:rPr>
        <w:t>E. 12</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 La demanderesse, représentée par un conseil, obtenant gain de cause, la défenderesse est condamnée à lui verser une indemnité de 2'000 fr. à titre de dépens, TVA et débours inclus (art. 106 al. 1 CPC; art. 16 à 21 de la loi d'application du code civil et du code des obligations du 7 mai 1981 [LaCC ; RS E 1 05]; art. 84 et 85 du RTFMC). Pour le surplus, la procédure est gratuite (art. 114 let. e CPC).</w:t>
      </w:r>
    </w:p>
    <w:p>
      <w:r>
        <w:t>A/105/2013 - 15/15 -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