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ATAS/756/2025 vom 9. Oktober 2025</w:t>
      </w:r>
    </w:p>
    <w:p>
      <w:r>
        <w:t>GE Cour de justice, 2025-10-09, FR</w:t>
      </w:r>
    </w:p>
    <w:p>
      <w:r>
        <w:rPr>
          <w:b/>
        </w:rPr>
        <w:t xml:space="preserve">Quelle: </w:t>
      </w:r>
      <w:r>
        <w:t>https://mcp.opencaselaw.ch/entscheid/ge_gerichte_ATAS_756_2025</w:t>
      </w:r>
    </w:p>
    <w:p>
      <w:r>
        <w:t>FR: GE_GERICHTE ATAS/756/2025 du 9 octobre 2025</w:t>
      </w:r>
    </w:p>
    <w:p>
      <w:r>
        <w:t>IT: GE_GERICHTE ATAS/756/2025 del 9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E5 10).</w:t>
      </w:r>
    </w:p>
    <w:p>
      <w:r>
        <w:rPr>
          <w:b/>
        </w:rPr>
        <w:t>E. 1.3</w:t>
      </w:r>
    </w:p>
    <w:p>
      <w:r>
        <w:t>Le délai de recours est de 30 jours (art. 56 LPGA ; art. 62 al. 1 LPA). Interjeté dans les forme et délai prévus par la loi, compte tenu de la suspension des délais du 7e jour avant Pâques au 7e jour après Pâques (art. 60 al. 2 LPGA, renvoyant à l’art. 38 al. 4 let. a LPGA ; cf. aussi l’art. 89C let. a LPA), le recours est recevable.</w:t>
      </w:r>
    </w:p>
    <w:p>
      <w:r>
        <w:rPr>
          <w:b/>
        </w:rPr>
        <w:t>E. 2</w:t>
      </w:r>
    </w:p>
    <w:p>
      <w:r>
        <w:t>Le litige porte sur le point de savoir si la recourante peut prétendre au maintien de sa rente entière d’invalidité au-delà du 31 janvier 2023.</w:t>
      </w:r>
    </w:p>
    <w:p>
      <w:r>
        <w:rPr>
          <w:b/>
        </w:rPr>
        <w:t>E. 3.1</w:t>
      </w:r>
    </w:p>
    <w:p>
      <w:r>
        <w:t>Dans le cadre du développement continu de l’AI, la LAI, le règlement sur l’assurance-invalidité du 17 janvier 1961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w:t>
      </w:r>
    </w:p>
    <w:p>
      <w:r>
        <w:t>A/1457/2025 - 10/22 - 31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rPr>
          <w:b/>
        </w:rPr>
        <w:t>E. 3.2</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 125 V 413 consid. 2d).</w:t>
      </w:r>
    </w:p>
    <w:p>
      <w:r>
        <w:rPr>
          <w:b/>
        </w:rPr>
        <w:t>E. 3.3</w:t>
      </w:r>
    </w:p>
    <w:p>
      <w:r>
        <w:t>En l’occurrence, il n’est pas contesté que, tant la naissance du droit à une rente que le motif de révision de celle-ci sont survenus après le 31 décembre 2021, de sorte les dispositions applicables seront citées dans leur nouvelle teneur.</w:t>
      </w:r>
    </w:p>
    <w:p>
      <w:r>
        <w:rPr>
          <w:b/>
        </w:rPr>
        <w:t>E. 4.1</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4.1.1</w:t>
      </w:r>
    </w:p>
    <w:p>
      <w:r>
        <w:t>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w:t>
      </w:r>
    </w:p>
    <w:p>
      <w:r>
        <w:t>A/1457/2025 - 11/22 - clairement ressortir du dossier. La réglementation sur la révision ne saurait en effet constituer un fondement juridique à un réexamen sans condition du droit à la rente (arrêt du Tribunal fédéral I 111/07 du 17 décembre 2007 consid. 3 et les références).</w:t>
      </w:r>
    </w:p>
    <w:p>
      <w:r>
        <w:rPr>
          <w:b/>
        </w:rPr>
        <w:t>E. 4.1.2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Cependant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Selon la jurisprudence, en cas d’octroi rétroactif d’une rente d’invalidité échelonnée ou limitée dans le temps, outre la disposition de révision de l’art. 17 al. 1 LPGA, la règle de l’art. 88a al. 1 RAI concernant la modification du droit aux prestations en cas d’amélioration de la capacité de gain s’applique par analogie lorsqu’un changement influant sur le droit aux prestations est survenu avant la première décision de rente (arrêt du Tribunal fédéral 8C_94/2013 du 8 juillet 2013 consid. 4.1). Dans le cas de l’octroi rétroactif d’une rente temporaire ou échelonnée, les bases de comparaison déterminantes sont, d’une part, la date du début du droit à la rente et, d’autre part, la date de la modification du droit à la rente compte tenu du délai de trois mois de l’art. 88a RAI (arrêt du Tribunal fédéral 8C_51/2024 du 2 juillet 2024 consid. 2.4 et les références). L’art. 88a al. 1 RAI prévoit que si la capacité de gain s’améliore, ce changement n’est déterminant pour la suppression de toute ou partie du droit aux prestations qu’à partir du moment où l’on peut s’attendre à ce que l’amélioration constatée se maintienne durant une assez longue période (1re phrase). Il en va de même lorsqu’un tel changement déterminant a duré trois mois déjà, sans interruption notable et sans qu’une complication prochaine soit à craindre (2e phrase). En règle générale, il convient d’examiner pour l’avenir (pro futuro) si une amélioration de la capacité de gain est susceptible de durer longtemps (arrêt du Tribunal fédéral 8C_36/2019 du 30 avril 2019 consid. 5 et les arrêts cités). Le Tribunal fédéral applique généralement la 2e phrase de l’art. 88a al. 1 RAI et accorde ou confirme la rente plus élevée perçue jusqu’alors pendant trois mois après le changement de l’état de santé (cf. arrêts du Tribunal fédéral 8C_94/2013 du 8 juillet 2013 consid. 4.1 ; 8C_670/2011 du 10 février 2012 consid. 5.1 ; 9C_491/2008 du 21 avril 2009 consid. 2 ; plus récemment, par exemple, 9C_544/2018 du 5 février 2019 consid. 7.3 ; 8C_220/2018 du 14 novembre 2018 consid. 5.3 ; 9C_112/2018 du 20 septembre 2018 consid. 4.2 ; 8C_309/2018 du 2 août 2018 consid. 6). Selon la jurisprudence du Tribunal fédéral, il n’y a lieu</w:t>
      </w:r>
    </w:p>
    <w:p>
      <w:r>
        <w:t>A/1457/2025 - 12/22 - de renoncer à l’octroi d’un délai d’attente jusqu’à la suppression/modification du droit à la rente que dans des cas exceptionnels. La suppression « immédiate » de ce droit a ainsi été jugée justifiée, par exemple, parce qu’une amélioration était déjà prévisible depuis un certain temps, mais que la date de la modification de la capacité de travail n’était documentée nulle part (arrêt du Tribunal fédéral 9C_603/2010 du 6 octobre 2011 consid. 4.2), ou parce que l’évolution de la capacité de travail ne pouvait être déterminée avec précision mais que cela n’avait été possible qu’au moyen d’une expertise s’écartant des incapacités de travail attestées en temps réel (arrêt du Tribunal fédéral 9C_810/2010 du 16 septembre 2011 consid. 4.2). Dans ces cas, le Tribunal fédéral a fait coïncider la date de la suppression/modification de la rente avec le moment de l’expertise (arrêt du Tribunal fédéral 8C_36/2019 du 30 avril 2019 consid. 5 précité).</w:t>
      </w:r>
    </w:p>
    <w:p>
      <w:r>
        <w:rPr>
          <w:b/>
        </w:rPr>
        <w:t>E. 4.2</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5.1</w:t>
      </w:r>
    </w:p>
    <w:p>
      <w:r>
        <w:t>Selon l’art. 28b LAI, en vigueur depuis le 1er janvier 2022,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les taux d’invalidité compris entre 40 et 49%, la quotité de la rente s’échelonne de 25 à 47.5% (cf. al. 4).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w:t>
      </w:r>
    </w:p>
    <w:p>
      <w:r>
        <w:t>A/1457/2025 - 13/22 - durant une année sans interruption notable et qui, au terme de cette année, est invalide (art. 8 LPGA) à 40% au moins (art. 28 al. 1 LAI).</w:t>
      </w:r>
    </w:p>
    <w:p>
      <w:r>
        <w:rPr>
          <w:b/>
        </w:rPr>
        <w:t>E. 5.2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la classification internationale des maladie (CIM) ou le DSM-IV (Diagnostic and Statistical Manual) (ATF 143 V 409 consid. 4.5.2 ; 141 V 281 consid. 2.1 et 2.1.1 ; 130 V 396 consid. 5.3 et 6).</w:t>
      </w:r>
    </w:p>
    <w:p>
      <w:r>
        <w:rPr>
          <w:b/>
        </w:rPr>
        <w:t>E. 5.3</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w:t>
      </w:r>
    </w:p>
    <w:p>
      <w:r>
        <w:t>A/1457/2025 - 14/22 -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5.4</w:t>
      </w:r>
    </w:p>
    <w:p>
      <w:r>
        <w:t>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(ATF 141 V 281 consid. 2.2 ; arrêt du Tribunal fédéral 9C_756/2018 du 17 avril 2019 consid. 5.2.2 et la référence).</w:t>
      </w:r>
    </w:p>
    <w:p>
      <w:r>
        <w:rPr>
          <w:b/>
        </w:rPr>
        <w:t>E. 5.5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t>A/1457/2025 - 15/22 - Les indicateurs appartenant à la catégorie « degré de gravité fonctionnel » forment le socle de base pour l’évaluation des troubles psychiques (ATF 141 V 281 consid. 4.3 ; arrêt du Tribunal fédéral 9C_618/2019 du 16 mars 2020 consid. 8.2).</w:t>
      </w:r>
    </w:p>
    <w:p>
      <w:r>
        <w:rPr>
          <w:b/>
        </w:rPr>
        <w:t>E. 6.1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A/1457/2025 - 16/22 -</w:t>
      </w:r>
    </w:p>
    <w:p>
      <w:r>
        <w:rPr>
          <w:b/>
        </w:rPr>
        <w:t>E. 6.3.2</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6.3.3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6.3.5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w:t>
      </w:r>
    </w:p>
    <w:p>
      <w:r>
        <w:t>A/1457/2025 - 17/22 -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w:t>
      </w:r>
    </w:p>
    <w:p>
      <w:r>
        <w:rPr>
          <w:b/>
        </w:rPr>
        <w:t>E. 7.2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En application de la jurisprudence précitée (arrêt du Tribunal fédéral 8C_51/2024 du 2 juillet 2024 consid. 2.4 et les références), il convient de comparer la situation</w:t>
      </w:r>
    </w:p>
    <w:p>
      <w:r>
        <w:t>A/1457/2025 - 18/22 - telle qu’elle se présentait au moment de la naissance du droit à la rente, en octobre 2022, avec celle qui existait le 31 janvier 2023, soit à l’issue du délai de trois mois à compter de la modification de l’état de fait survenue en novembre 2022 (cf. ci-dessus : consid. 4.1.2).</w:t>
      </w:r>
    </w:p>
    <w:p>
      <w:r>
        <w:rPr>
          <w:b/>
        </w:rPr>
        <w:t>E. 8.1</w:t>
      </w:r>
    </w:p>
    <w:p>
      <w:r>
        <w:t>En l’espèce, il ressort du rapport d’expertise du 26 septembre 2024 qu’au terme du délai d’attente d’un an, soit en octobre 2022, la recourante avait une capacité de travail de 50% dans une activité adaptée aux limitations fonctionnelles retenues par les experts. Le SMR a toutefois estimé, par avis du 8 octobre 2024, qu’en tant que les experts faisaient naître le recouvrement d’une capacité de travail de 50% dans une activité adaptée une année après l’apparition des lombosciatalgies, il convenait de tenir compte du fait qu’en octobre 2022, le traitement antalgique conservateur (trois infiltrations périradiculaires subies entre le 23 novembre 2021 et le 12 septembre 2022 ; cf. expertise, p. 7-9) n’avait pas encore duré une année et qu’ainsi, la capacité de travail de 50% dans une activité adaptée retenue par les experts ne pouvait être admise qu’à compter du mois de novembre 2022. Aussi l’intimé a-t-il estimé qu’en application de l’art. 88a RAI, l’incapacité de gain totale au moment de la naissance du droit à la rente justifiait l’octroi d’une rente entière jusqu’au 31 janvier 2023, l’amélioration constatée ayant duré trois mois à ce moment-là. La décision attaquée retient ainsi, sur la base de cet avis du SMR, une capacité de travail nulle dans l’activité habituelle depuis le 7 octobre 2021, mais de 50% dans une activité adaptée depuis novembre 2022. Dite décision retient également qu’au vu de la comparaison des revenus effectuée après le rapport d’expertise précité, la recourante ne subissait qu’une perte de gain de CHF 47’170.- (soit 65.35%) en 2023, respectivement CHF 49’949.- (soit 69.20%) en 2024, justifiant ainsi la suppression de la rente entière au 31 janvier 2023 (cf. art. 88a al. 1 RAI) et son remplacement par une rente de 65% du 1er février au 31 décembre 2023, respectivement une rente de 69% dès le 1er janvier 2024. Si le raisonnement qui sous-tend l’octroi d’une rente entière n’est pas contesté, il n’en va pas de même pour la période postérieure au 31 janvier 2023, la recourante contestant avoir une capacité de travail de 50% que les experts lui reconnaissent dans une activité adaptée. Aussi convient-il d’examiner la valeur probante de l’expertise bi-disciplinaire.</w:t>
      </w:r>
    </w:p>
    <w:p>
      <w:r>
        <w:rPr>
          <w:b/>
        </w:rPr>
        <w:t>E. 8.2</w:t>
      </w:r>
    </w:p>
    <w:p>
      <w:r>
        <w:t>Dans leur rapport du 26 septembre 2024, les experts ont retenu les diagnostics suivants, de nature exclusivement somatique : - discopathies L3-L4 et L4-L5 avec hernie discale L4-L5 foraminale et extra- foraminale gauche comprimant la racine L4 gauche ; - rétrécissements foraminaux L3-L4, L4-l5 et L5-S1 gauches. Sur le plan orthopédique, l’expert K______ a mentionné que l’assurée avait subi trois infiltrations rachidiennes – la dernière en septembre 2022 – sans amélioration durable, qu’elle prenait une médication antalgique par morphiniques</w:t>
      </w:r>
    </w:p>
    <w:p>
      <w:r>
        <w:t>A/1457/2025 - 19/22 - depuis décembre 2023, « correspondant à une intensité douloureuse majeure » (rapport d’expertise p. 17). Les diagnostics précités entraînaient des limitations fonctionnelles pour le port de charges supérieures à 5 kg, les déplacements supérieurs à 30 minutes, les positions debout ou assise prolongées supérieures à 1 heure et les travaux en porte-à-faux (expertise, p. 34). Concernant les troubles actuels, l’expert K______ a relevé que l’assurée rapportait avoir essayé « toutes les médecines alternatives », qu’elle avait ainsi consulté un ostéopathe, un chiropraticien, un acupuncteur et un magnétiseur, que ces traitements alternatifs avaient permis un léger mieux au début des symptômes en 2021-2022 mais plus du tout par la suite. L’assurée « [concédait ainsi] une amélioration [de ses troubles] » par rapport à la situation prévalant au début des symptômes en octobre 2021 (la jambe gauche était alors « paralysée » ; expertise, p. 26 in fine). En outre, l’expert K______ a constaté que « durant l’entretien de près de 45 minutes, [l’assurée était] en mesure d’observer une position assise sans signe d’inconfort » (expertise, p. 20), qu’elle avait pu « se déplacer de manière autonome [jusqu’à Aigle] pour la procédure expertale » (ce qui représentait environ deux heures de trajet en transports publics ; expertise, p. 29), se rendre en avion au Kosovo et en Turquie pour les vacances durant l’été 2024 (expertise, p. 28), qu’elle « [entrait] aisément en contact avec l’expert » et s’exprimait parfaitement en français (expertise, p. 18). Estimant que l’assurée disposait ainsi de ressources et de capacités, l’expert K______ a considéré au terme de l’examen clinique que si l’activité habituelle ne pouvait plus être exercée, l’exercice d’une activité adaptée aux limitations fonctionnelles précitées n’en restait pas moins exigible à 50% (soit 4 heures à 4 heures et demie sur une demi-journée, sans diminution de rendement ; expertise, p. 34), comme par exemple dans le domaine de l’horlogerie ou dans toute autre profession permettant l’alternance des positions debout et assise (expertise, p. 28 in fine). Sur le plan psychiatrique, l’expert L______ n’a retenu aucune psychopathologie et donc aucune diminution de la capacité de travail pour des motifs psychiques. Cela étant, il n’en a pas moins procédé à des constatations et appréciations en lien avec la prise de morphiniques en citant notamment un rapport de consultation du 27 août 2024 de la Dre I______, envoyé par l’assurée aux experts, dans lequel il était indiqué que « le Palexia la shoote sans améliorer les douleurs [et qu’elle] se plaint de perte de mémoire et de fatigue ». Dans ce rapport, cette rhumatologue mentionnait également que durant ses vacances en Turquie, l’assurée « [avait] dû rester allongée » (expertise, p. 15 ; cf. aussi dossier AI, doc. 97, p. 410). Dans le même ordre d’idées, l’expert L______ a constaté dans l’examen des ressources de l’assurée que celle-ci présentait une hyposthénie « liée à une consommation antalgique de dérivés morphinique[s] » et qu’en conséquence, elle « [n’était] actuellement pas capable de persévérer suffisamment longtemps et pendant le temps habituellement exigé dans une activité professionnelle ou autre en maintenant un niveau de rendement continu » (expertise, p. 19). En l’absence d’atteinte à la santé psychique, l’expert psychiatre laissait toutefois le soin à son</w:t>
      </w:r>
    </w:p>
    <w:p>
      <w:r>
        <w:t>A/1457/2025 - 20/22 - confrère orthopédiste d’apprécier les répercussions du traitement en question en ces termes : « [l’assurée] consomme un traitement antalgique morphinique potentiellement sédatif. Cela s’explore ailleurs » (expertise, p. 17). À ce stade de l’analyse, la chambre de céans constate que sur le plan orthopédique, l’état de l’assurée n’a pas connu d’évolution depuis la légère amélioration des symptômes intervenue en 2021-2022, soit peu après l’apparition des lombosciatalgies le 7 octobre 2021. Il s’ensuit que l’examen effectué par l’expert K______ le 4 septembre 2024, en particulier les déductions qui en sont tirées quant à une capacité de travail de 50% dans une activité adaptée depuis octobre 2022 (novembre 2022 selon le SMR) ne prêtent a priori pas le flanc à la critique, ce d’autant que tant le volet psychiatrique (non contesté) que le volet rhumatologique de l’expertise remplissent en principe les réquisits jurisprudentiels qui permettraient d’en reconnaître la valeur probante, sous réserve de ce qui suit : on constate en effet que l’expert orthopédiste K______ ne prend position que de manière lacunaire sur le traitement morphinique précité, administré « depuis fin 2023 » (cf. expertise, p. 26), lequel ferait obstacle à un « rendement continu » aux dires de l’expert psychiatre L______. L’expert K______ ne retient certes aucune diminution de rendement pour l’exercice d’une activité adaptée à 50%. Toutefois, le raisonnement proposé pour parvenir à cette conclusion n’en reste pas moins tronqué. En effet, le fait de retenir que « les plaintes douloureuses rachidiennes de l’assurée demeurent cohérentes et plausibles » et que « l’intensité douloureuse alléguée par l’assurée est corroborée par la prise quotidienne d’une antalgie par morphiniques » (expertise, p. 31) n’a de sens que si ces éléments caractérisant l’atteinte à la santé font eux-mêmes l’objet d’une analyse exhaustive de leurs éventuelles conséquences fonctionnelles négatives, ce qui n’est pas le cas. En effet, contrairement à l’expert psychiatre, l’expert orthopédiste n’aborde nulle part les éventuelles répercussions du traitement antalgique par morphiniques. Son examen reste centré sur le status orthopédique. De plus, son inventaire des ressources (maîtrise parfaite du français, diplôme ATSSO obtenu en 2018, possibilité de se rendre de manière autonome au centre d’expertise, contact aisé avec l’expert, soutien affectif des filles et du mari) n’est tempéré par aucune analyse des « facteurs pesants » pourtant prévue dans la mission d’expertise (expertise, p. 33, ch. 7.2). Sous l’angle d’une appréciation médicale censée être consensuelle, cette lacune est d’autant plus inexplicable que l’expert L______ retient, à titre de « facteur pesant », l’hyposthénie liée à la consommation de dérivés morphiniques en précisant que cette question est explorée ailleurs par l’expert K______ (cf. expertise, p. 17, 19, 52-54), ce qu’elle n’est pas dans les faits.</w:t>
      </w:r>
    </w:p>
    <w:p>
      <w:r>
        <w:rPr>
          <w:b/>
        </w:rPr>
        <w:t>E. 8.3</w:t>
      </w:r>
    </w:p>
    <w:p>
      <w:r>
        <w:t>En l’état lacunaire de l’instruction, il n’est donc pas établi, au degré requis de la vraisemblance prépondérante, que la capacité de travail de 50% recouvrée dans une activité adaptée dès novembre 2022 se serait maintenue à ce taux jusqu’à la date de la décision litigieuse, vu la prise de dérivés morphiniques dès décembre</w:t>
      </w:r>
    </w:p>
    <w:p>
      <w:r>
        <w:t>A/1457/2025 - 21/22 - 2023 par l’assurée et les répercussions de ces substances sur le « rendement continu » aux dires de l’expert psychiatre L______. Aussi se justifie-t-il d’annuler la décision litigieuse. On rappellera néanmoins que lorsque dans le cadre de l’octroi rétroactif d’une rente d’invalidité échelonnée, seule la réduction ou la suppression des prestations est contestée, ce qui est le cas en l’espèce, le pouvoir d’examen du juge (et de l’administration, en cas de renvoi de la cause) s’étend également aux périodes pour lesquelles l’octroi des prestations n’est pas remis en cause (ATF 125 V 413).</w:t>
      </w:r>
    </w:p>
    <w:p>
      <w:r>
        <w:rPr>
          <w:b/>
        </w:rPr>
        <w:t>E. 9</w:t>
      </w:r>
    </w:p>
    <w:p>
      <w:r>
        <w:t>Compte tenu de ce qui précède, le recours est partiellement admis, la décision du 14 mars 2025 est annulée et la cause renvoyée à l’intimé pour instruction complémentaire au sens des considérants (ci-dessus : consid. 8.2), le cas échéant au moyen d’un complément d’expertise, pour qu’il examine le droit de la recourante à une rente d’invalidité, au besoin pour la période du 1er octobre 2022 au 31 janvier 2023.</w:t>
      </w:r>
    </w:p>
    <w:p>
      <w:r>
        <w:rPr>
          <w:b/>
        </w:rPr>
        <w:t>E. 10.1</w:t>
      </w:r>
    </w:p>
    <w:p>
      <w:r>
        <w:t>Obtenant partiellement gain de cause et étant assistée par un conseil, la recourante a droit à une indemnité à titre de participation à ses frais et dépens, que la chambre de céans fixera à CHF 1’500.- (art. 61 let. g LPGA ; art. 89H al. 3 LPA ; art. 6 du règlement sur les frais, émoluments et indemnités en procédure administrative du 30 juillet 1986 [RFPA - E 5 10.03]).</w:t>
      </w:r>
    </w:p>
    <w:p>
      <w:r>
        <w:rPr>
          <w:b/>
        </w:rPr>
        <w:t>E. 10.2</w:t>
      </w:r>
    </w:p>
    <w:p>
      <w:r>
        <w:t>La procédure n’étant pas gratuite (art. 69 al. 1bis LAI) et vu l’issue du litige, il y a lieu de condamner l’intimé au paiement d’un émolument de CHF 200.-.</w:t>
      </w:r>
    </w:p>
    <w:p>
      <w:r>
        <w:t>*****</w:t>
      </w:r>
    </w:p>
    <w:p>
      <w:r>
        <w:t>A/1457/2025 - 22/22 -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