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ATAS/756/2016 vom 11. Dezember 2008</w:t>
      </w:r>
    </w:p>
    <w:p>
      <w:r>
        <w:t>GE Cour de justice, 2008-12-11, FR</w:t>
      </w:r>
    </w:p>
    <w:p>
      <w:r>
        <w:rPr>
          <w:b/>
        </w:rPr>
        <w:t xml:space="preserve">Quelle: </w:t>
      </w:r>
      <w:r>
        <w:t>https://mcp.opencaselaw.ch/entscheid/ge_gerichte_ATAS_756_2016</w:t>
      </w:r>
    </w:p>
    <w:p>
      <w:r>
        <w:t>FR: GE_GERICHTE ATAS/756/2016 du 11 décembre 2008</w:t>
      </w:r>
    </w:p>
    <w:p>
      <w:r>
        <w:t>IT: GE_GERICHTE ATAS/756/2016 del 11 dicembre 2008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Interjeté dans la forme et le délai prévus par la loi, le recours est recevable (art. 56 et 60 de la LPGA; art. 89B de la loi sur la procédure administrative du 12 septembre 1985 – LPA [RS/GE E 5 10].</w:t>
      </w:r>
    </w:p>
    <w:p>
      <w:r>
        <w:rPr>
          <w:b/>
        </w:rPr>
        <w:t>E. 4</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w:t>
      </w:r>
    </w:p>
    <w:p>
      <w:r>
        <w:t>A/2232/2016 - 8/12 -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rPr>
          <w:b/>
        </w:rPr>
        <w:t>E. 5</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w:t>
      </w:r>
    </w:p>
    <w:p>
      <w:r>
        <w:t>A/2232/2016 - 9/12 -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En l’espèce, la décision entreprise, supprimant la rente d’invalidité entière de l'assurée dès le premier jour du deuxième mois suivant la notification, se fonde en particulier sur les conclusions de l’expertise pluridisciplinaire confiée à la CRR, via la plate-forme med@p, le SMR ayant adhéré aux conclusions des experts. L'intimée accorde pleine valeur probante à cette expertise. La recourante, quant à elle, conteste la valeur probante de cette expertise, produisant à l’appui de son recours un rapport du Dr D______, qu’elle avait invité à se prononcer sur ce rapport d’expertise. Ce médecin conteste la valeur probante dans l’évaluation de la patiente pour sa capacité de travail en l’absence, en particulier, d’un examen neuropsychologique détaillé, que lui-même a ordonné d’urgence. En complément à son recours, la recourante a produit le rapport d’examen en question, effectué aux HUG le 4 juillet 2016, qui conclut qu’une reprise de travail par l’assurée est prématurée.</w:t>
      </w:r>
    </w:p>
    <w:p>
      <w:r>
        <w:rPr>
          <w:b/>
        </w:rPr>
        <w:t>E. 8</w:t>
      </w:r>
    </w:p>
    <w:p>
      <w:r>
        <w:t>L'intimé a soumis le recours et toutes les pièces médicales produites à l’appui de celui-ci, à son service médical qui s’est prononcé de manière complète et circonstanciée sur les critiques émises par la recourante à l’égard du rapport d’expertise de la CRR. Le SMR s’est ensuite prononcé de façon précise sur les rapports médicaux produits par la recourante. S’agissant du rapport du Dr D______, sa contestation tourne principalement autour de la question d’éventuelles répercussions neurocognitives en lien avec la séropositivité HIV sur la capacité de travail. Selon ce médecin, la présence de troubles neurocognitifs est fort probable. Il pense qu’ils pourraient être aggravés par le traitement médicamenteux en cours. Il reproche à l’expert psychiatre de ne pas avoir envisagé « de graves troubles de l’attention, de la concentration de la mémoire » expliquant le vide dans les activités quotidiennes. En conclusion, il est d’avis qu’une évaluation neuropsychologique est justifiée. Ce médecin n’apporte aucun élément nouveau concernant la situation médicale de l’assurée. En effet, même si le</w:t>
      </w:r>
    </w:p>
    <w:p>
      <w:r>
        <w:t>A/2232/2016 - 10/12 - diagnostic de séropositivité HIV sous trithérapie n’a pas été reporté formellement dans la liste des atteintes sans répercussion sur la capacité de travail, l’expertise de la CRR montre en plusieurs endroits ce diagnostic notamment dans la discussion. Ainsi les experts ont bien tenu compte de la séropositivité HIV traitée par trithérapie, en ce sens qu’ils considèrent que cette atteinte n’a pas de répercussion sur la capacité de travail. Le SMR remarque en outre, au sujet de la fatigue, des troubles du sommeil purement anamnestiques au vu des résultats de l’examen polysomnographique : que dans son rapport du 16 septembre 2010, le médecin spécialiste infectiologue en charge du suivi HIV aux HUG (Dr E______) indique que le HIV est sans répercussion sur la capacité de travail. Il ne mentionne aucune répercussion cognitive du HIV ; le psychiatre traitant (Dr B______) dans son rapport du 26/12/2013 rapporte certes une fatigue, mais n’évoque aucun trouble neurocognitif. Il atteste d’ailleurs une pleine capacité de travail dans toute activité ; l’évaluation psychiatrique effectuée au BREM en 2011 relève l’absence de troubles de la concentration et de la mémoire ; de même l’évaluation psychiatrique effectuée à la CRR indique que la capacité de concentration est dans la norme et que l’assurée ne peine pas à former ses pensées. L’assurée ne verbalise aucune plainte dans ce sens ; enfin le Dr D______ ne fait que postuler la présence éventuelle de troubles cognitifs en se basant sur la littérature. Il ne rapporte pas avoir lui-même constaté de tels troubles chez sa patiente. Son rapport est une critique de l’expertise mais il ne fournit aucune information médicale clinique nouvelle susceptible d’apporter un éclairage différent sur la situation médicale de l’assurée. Quant à l’examen neuropsychologique de juillet 2016, réalisé aux HUG (Dr F______), à la demande du Dr D______, cet examen conclut à « un trouble neurocognitif léger associé au VIH, caractérisé au premier plan par des déficits d’intensité légère à modérée sur le plan exécutif, attentionnel et mnésique, associé à une fatigabilité.» Une influence de facteurs thymiques est relevée. Au vu de ces troubles les examinateurs sont d’avis que la reprise professionnelle est prématurée. Le SMR estime que l’examen neuropsychologique de juillet 2016 n’est pas convaincant : comme rappelé, il n’existe aucun signe d’appel dans le dossier en dehors d’une fatigue purement subjective. L’examen n’a pas été effectué en raison de la suspicion clinique de tels troubles, mais en tant qu’élément de preuve dans le cadre de la procédure de recours. De plus, on ne sait pas sur quels éléments objectifs les examinateurs se fondent pour affirmer qu’il n’y a pas de signes de majoration. Enfin, les troubles mis en évidence paraissent de toute façon insuffisants pour justifier que l’assuré ne puisse pas reprendre une activité professionnelle. Il résulte ainsi, sur la base d’un examen prima facie, au sens de la jurisprudence rappelée précédemment, que les critiques et les prétendues lacunes de l’expertise pluridisciplinaire de la CRR dénoncées par la recourante dans sa propre interprétation, aussi bien qu'à travers la documentation médicale produite à l’appui de son recours, et qui justifieraient selon elle la restitution de l’effet suspensif, et par conséquent la reprise du versement de la rente, dès sa suppression, et pendant toute la durée de la procédure, n'apparaissent pas d’emblée aussi évidentes qu’elle</w:t>
      </w:r>
    </w:p>
    <w:p>
      <w:r>
        <w:t>A/2232/2016 - 11/12 - semble le penser. Ainsi, dans le cadre de la pesée des intérêts qui doit être faite, selon la jurisprudence, l'intérêt de la personne assurée à pouvoir continuer à bénéficier des prestations qu'elle percevait jusqu'alors n'est pas d'une importance décisive, tant qu'il n'y a pas lieu d'admettre que, selon toute vraisemblance, elle l'emportera dans la cause principale.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w:t>
      </w:r>
    </w:p>
    <w:p>
      <w:r>
        <w:rPr>
          <w:b/>
        </w:rPr>
        <w:t>E. 9</w:t>
      </w:r>
    </w:p>
    <w:p>
      <w:r>
        <w:t>La chambre de céans constate au surplus qu'à ce stade de la procédure, les chances de succès de l'intéressée sur le fond du litige, à la lumière de la jurisprudence fédérale, n'apparaissent pas d’emblée telles qu'elles l'emportent sur l'intérêt de l’office à l'exécution immédiate de sa décision ;</w:t>
      </w:r>
    </w:p>
    <w:p>
      <w:r>
        <w:rPr>
          <w:b/>
        </w:rPr>
        <w:t>E. 10</w:t>
      </w:r>
    </w:p>
    <w:p>
      <w:r>
        <w:t>La demande de restitution de l'effet suspensif doit dès lors être rejetée.</w:t>
      </w:r>
    </w:p>
    <w:p>
      <w:r>
        <w:t>A/2232/2016 - 12/12 -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