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ATAS/756/2010 vom 21. Januar 2010</w:t>
      </w:r>
    </w:p>
    <w:p>
      <w:r>
        <w:t>GE Cour de justice, 2010-01-21, FR</w:t>
      </w:r>
    </w:p>
    <w:p>
      <w:r>
        <w:rPr>
          <w:b/>
        </w:rPr>
        <w:t xml:space="preserve">Quelle: </w:t>
      </w:r>
      <w:r>
        <w:t>https://mcp.opencaselaw.ch/entscheid/ge_gerichte_ATAS_756_2010</w:t>
      </w:r>
    </w:p>
    <w:p>
      <w:r>
        <w:t>FR: GE_GERICHTE ATAS/756/2010 du 21 janvier 2010</w:t>
      </w:r>
    </w:p>
    <w:p>
      <w:r>
        <w:t>IT: GE_GERICHTE ATAS/756/2010 del 21 gennaio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w:t>
      </w:r>
    </w:p>
    <w:p>
      <w:r>
        <w:t>A/1725/2010 3/5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seuls avoirs du demandeur. Les dates pertinentes sont, d’une part, le 9 septembre 1997, date du mariage, d’autre part le 4 mars 2010, date à laquelle le jugement de divorce est devenu exécutoire.</w:t>
      </w:r>
    </w:p>
    <w:p>
      <w:r>
        <w:rPr>
          <w:b/>
        </w:rPr>
        <w:t>E. 4</w:t>
      </w:r>
    </w:p>
    <w:p>
      <w:r>
        <w:t>Les arguments avancés par la demanderesse dans son courrier du 1er juillet 2010 pour mettre en doute la réalité du montant mis à jour par l'instruction concernant son ex-mari apparaissent manifestement dénués de tout fondement. Il suffira à cet égard de rappeler que l'avoir du 3ème pilier n'a pas à être partagé dans le cadre du divorce (cf. également consid. Ec du jugement de divorce), que le Tribunal de céans s'est basé sur le rassemblement des comptes individuels AVS du demandeur, qu'il n'y a ainsi aucun doute que tous les avoirs de prévoyance existant et devant être pris en compte pour le partage ont été retrouvés, qu'il n'y a pas de raison de mettre en doute les informations données par les institutions de prévoyance interrogées et enfin, qu'il n'appartient pas au Tribunal de céans, dans le cadre d'un partage, de</w:t>
      </w:r>
    </w:p>
    <w:p>
      <w:r>
        <w:t>A/1725/2010 4/5 commencer à vérifier si les cotisations ont été correctement prélevées, d'autant que rien n'indique que tel pourrait ne pas être le cas.</w:t>
      </w:r>
    </w:p>
    <w:p>
      <w:r>
        <w:rPr>
          <w:b/>
        </w:rPr>
        <w:t>E. 5</w:t>
      </w:r>
    </w:p>
    <w:p>
      <w:r>
        <w:t>Selon les documents produits, la prestation acquise pendant le mariage par le demandeur s'élève à 6'695 fr. 60, les intérêts ayant déjà été calculés par l'institution de prévoyance défenderesse. Ainsi le demandeur doit à son ex-épouse le montant de 3'347 fr. 80 (6'695.60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A/1725/2010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