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ATAS/756/2009 vom 17. Juni 2009</w:t>
      </w:r>
    </w:p>
    <w:p>
      <w:r>
        <w:t>GE Cour de justice, 2009-06-17, FR</w:t>
      </w:r>
    </w:p>
    <w:p>
      <w:r>
        <w:rPr>
          <w:b/>
        </w:rPr>
        <w:t xml:space="preserve">Quelle: </w:t>
      </w:r>
      <w:r>
        <w:t>https://mcp.opencaselaw.ch/entscheid/ge_gerichte_ATAS_756_2009</w:t>
      </w:r>
    </w:p>
    <w:p>
      <w:r>
        <w:t>FR: GE_GERICHTE ATAS/756/2009 du 17 juin 2009</w:t>
      </w:r>
    </w:p>
    <w:p>
      <w:r>
        <w:t>IT: GE_GERICHTE ATAS/756/2009 del 17 giugno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Le 1er janvier 2008 sont entrées en vigueur les modifications de la LAI du 6 octobre 2006 (5ème révision de la LAI) Elles sont à prendre en considération pour déterminer les prestations dès cette date, eu égard au principe selon lequel les règles</w:t>
      </w:r>
    </w:p>
    <w:p>
      <w:r>
        <w:t>A/1434/2009 - 8/13 - applicables sont celles en vigueur au moment de la réalisation de l'état de fait dont les conséquences juridiques font l'objet de la décision (ATF 129 V 1 consid. 1.2 p.</w:t>
      </w:r>
    </w:p>
    <w:p>
      <w:r>
        <w:rPr>
          <w:b/>
        </w:rPr>
        <w:t>E. 4</w:t>
      </w:r>
    </w:p>
    <w:p>
      <w:r>
        <w:t>Est litigieux en l'espèce le point de savoir si l'intimé était fondé de supprimer la demi-rente dont bénéficiait le recourant depuis le 1er février 1999.</w:t>
      </w:r>
    </w:p>
    <w:p>
      <w:r>
        <w:rPr>
          <w:b/>
        </w:rPr>
        <w:t>E. 5</w:t>
      </w:r>
    </w:p>
    <w:p>
      <w:r>
        <w:t>Selon l'art. 17 LPGA, si le taux d'invalidité du bénéficiaire de la rente subit une modification notable, la rente est, d'office ou sur demande, révisée pour l'avenir, à savoir augmentée ou réduite en conséquence, ou encore supprimée. Cette disposition n'a pas apporté de modification aux principes jurisprudentiels développés sous le régime de l'ancien art. 41 LAI, en vigueur jusqu'au 31 décembre 2002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w:t>
      </w:r>
    </w:p>
    <w:p>
      <w:r>
        <w:t>A/1434/2009 - 9/13 - Il n'y a toutefois pas matière à révision lorsque les circonstances sont demeurées inchangées et que le motif de la suppression ou de la diminution de la rente réside uniquement dans une nouvelle appréciation du cas (ATFA non publié du 12 octobre 2005, I 8/04, consid. 2; ATF 112 V 372 consid. 2b et 390 consid. 1b). Un motif de révision au sens de l'art. 17 LPGA (ou de l'ancien art. 41 LAI) doit clairement ressortir du dossier (p. ex. ATFA du 31 janvier 2003 [I 559/02], consid. 3.2 et les arrêts cités; sur les motifs de révision en particulier : MÜLLER, Die materiellen Voraussetzungen der Rentenrevision in der Invalidenversicherung, thèse Fribourg 2002, p. 133 ss). La réglementation sur la révision ne saurait en effet constituer un fondement juridique à un réexamen sans condition du droit à la rente (RUEDI, Die Verfügungsanpassung als verfahrensrechtliche Grundfigur namentlich von Invalidenrentenrevisionen, in : SCHAFFHAUSER/SCHLAURI [Hrsg], Die Revision von Dauerleistungen in der Sozialversicherung, Saint-Gall, 1999, p. 15).</w:t>
      </w:r>
    </w:p>
    <w:p>
      <w:r>
        <w:rPr>
          <w:b/>
        </w:rPr>
        <w:t>E. 6</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w:t>
      </w:r>
    </w:p>
    <w:p>
      <w:r>
        <w:rPr>
          <w:b/>
        </w:rPr>
        <w:t>E. 7</w:t>
      </w:r>
    </w:p>
    <w:p>
      <w:r>
        <w:t>Selon l'art. 28 al. 2 LAI, l'assuré a droit à une rente s'il est invalide à 40 % au moins. La rente est échelonnée comme suit, selon le taux d'invalidité : 40 % au moins un quart, 50 % au moins une demie, 60 % au moins trois-quarts, 70 % au moins rente entière.</w:t>
      </w:r>
    </w:p>
    <w:p>
      <w:r>
        <w:rPr>
          <w:b/>
        </w:rPr>
        <w:t>E. 8</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 comparaison des revenus, il convient de se placer au moment de la naissance du</w:t>
      </w:r>
    </w:p>
    <w:p>
      <w:r>
        <w:t>A/1434/2009 - 10/13 -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S'agissant de la comparaison de salaires lors d'une révision de rente, il y a lieu de l'effectuer au regard de la situation existant au moment de la révision. Les revenus avec et sans invalidité doivent être déterminés par rapport à un même moment et les modifications de ces revenus, susceptibles d'influencer le droit à la rente et survenues jusqu'au moment où la décision est rendue, sont à prendre en compte (ATF non publié I 93/06 consid. 6.1; 129 V 222 consid. 4; 128 V 174).</w:t>
      </w:r>
    </w:p>
    <w:p>
      <w:r>
        <w:rPr>
          <w:b/>
        </w:rPr>
        <w:t>E. 9</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w:t>
      </w:r>
    </w:p>
    <w:p>
      <w:r>
        <w:t>A/1434/2009 - 11/13 -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rPr>
          <w:b/>
        </w:rPr>
        <w:t>E. 10</w:t>
      </w:r>
    </w:p>
    <w:p>
      <w:r>
        <w:t>En l'espèce, l'intimé admet que l'état de santé du recourant ne s'est pas fondamentalement amélioré et qu'il est donc resté le même pour l'essentiel. Il est à relever toutefois que, dans son rapport du 24 juin 2002, le Dr A_____________ SANTA a déclaré dans un premier temps que l'état s'était amélioré, même s'il a indiqué par la suite qu'il n'y a pas eu de changement, ce qui est également confirmé par les autres médecins consultés, y compris le Dr D_____________ du SMR. En tout état de cause, cette question peut rester ouverte, au vu de ce qui suit.</w:t>
      </w:r>
    </w:p>
    <w:p>
      <w:r>
        <w:rPr>
          <w:b/>
        </w:rPr>
        <w:t>E. 11</w:t>
      </w:r>
    </w:p>
    <w:p>
      <w:r>
        <w:t>Se pose en effet la question de savoir si les conséquences des atteintes de la santé sur la capacité de gain ont subi un changement important. a) En premier lieu, il y a lieu de constater que l'intimé a retenu à tort, pour la comparaison des revenus, le salaire réactualisé de l'assuré avant l'accident. En effet, il n'avait alors que 19 ans et travaillait dans l'entreprise familiale. Il est dès lors à supposer, qu'il aurait pu avancer dans cette entreprise. Par ailleurs, s'il est capable aujourd'hui de réaliser un salaire nettement plus élevé en tant que représentant comestible que dans son activité antérieure de poissonnier, il aurait a fortiori également pu réaliser le même salaire aujourd'hui, s'il n'avait pas subi un accident. Il est ainsi à supposer qu'il ne se serait pas satisfait du salaire modeste qu'il</w:t>
      </w:r>
    </w:p>
    <w:p>
      <w:r>
        <w:t>A/1434/2009 - 12/13 - percevait à l'époque dans l'entreprise familiale. En outre, contrairement à ce que l'intimé relève dans sa réponse au recours, le moment déterminant pour la comparaison des salaires est celui où la rente a été supprimée, comme exposé ci- dessus (cf. supra consid. 8, dernier alinéa). Partant, le salaire réalisé dans l'entreprise familiale en 1993 ne saurait être pris comme base pour le revenu sans invalidité. b) Le dossier ne donne aucune indication sur le salaire qu'aurait pu réaliser le recourant aujourd'hui dans l'entreprise familiale ou ailleurs. Le recourant produit uniquement une attestation de XB____________ SA évaluant le revenu réalisable sans invalidité. Cependant, si le recourant avait effectivement la possibilité de monter les échelons dans l'entreprise familiale, on ne comprend pas pourquoi cela n'a pas été attesté par celle-ci ou, si elle n'existe plus, par ses anciens responsables. L'estimation du salaire sans invalidité établie par la fiduciaire précitée ne revêt donc qu'une valeur probante limitée. Toutefois, cette question peut rester également ouverte, compte tenu de ce qui suit. c) En effet, même si l'état de santé du recourant n'a pas changé, il appert qu'il a réussi à se recycler dans une activité professionnelle, dans laquelle il pourrait travailler à 100 %. Le recourant lui-même l'a admis, en déclarant à l'expert, le Dr C_____________, que son poste était très bien adapté et qu'il pourrait travailler à 100% dans une telle activité. Par ailleurs, l'expert a considéré que dans ce poste de travail, sa capacité de travail était complète. Tel est également l'avis de la Division de la réadaptation professionnelle de l'intimé qui a constaté, dans son rapport du 17 novembre 2008, que le recourant pourrait mettre à profit une pleine capacité de travail dans un emploi tel qu'il l'exerce actuellement. Ainsi, il y a lieu de considérer que la répercussion des atteintes à la santé sur la capacité de travail a changé, le recourant ayant la possibilité de mettre à profit sa capacité de travail dans un domaine où il ne subit aucune diminution de celle-ci.</w:t>
      </w:r>
    </w:p>
    <w:p>
      <w:r>
        <w:rPr>
          <w:b/>
        </w:rPr>
        <w:t>E. 12</w:t>
      </w:r>
    </w:p>
    <w:p>
      <w:r>
        <w:t>Partant, il s'avère nécessaire de calculer à nouveau la perte de gain sur la base du salaire actuel à un taux de 100 %. L'intimé a retenu à titre de salaire d'invalide à 50 % la somme de 47'380 fr. A 100%, ce salaire s'élève donc à 94'760 fr. Même en comparant ce revenu au salaire moyen de 140'000 fr. estimé par XB____________ SA, la perte de gain du recourant ne s'élève qu'à 32 %, degré qui n'ouvre pas le droit à une rente. Cela étant, il doit être admis que l'intimé a supprimé la demi-rente à raison.</w:t>
      </w:r>
    </w:p>
    <w:p>
      <w:r>
        <w:rPr>
          <w:b/>
        </w:rPr>
        <w:t>E. 13</w:t>
      </w:r>
    </w:p>
    <w:p>
      <w:r>
        <w:t>Au vu de ce qui précède, le recours sera rejeté.</w:t>
      </w:r>
    </w:p>
    <w:p>
      <w:r>
        <w:t>A/1434/2009 - 13/13 -</w:t>
      </w:r>
    </w:p>
    <w:p>
      <w:r>
        <w:rPr>
          <w:b/>
        </w:rPr>
        <w:t>E. 14</w:t>
      </w:r>
    </w:p>
    <w:p>
      <w:r>
        <w:t>L'émolument de justice de 200 fr. sera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