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ATAS/755/2025 vom 9. Oktober 2025</w:t>
      </w:r>
    </w:p>
    <w:p>
      <w:r>
        <w:t>GE Cour de justice, 2025-10-09, FR</w:t>
      </w:r>
    </w:p>
    <w:p>
      <w:r>
        <w:rPr>
          <w:b/>
        </w:rPr>
        <w:t xml:space="preserve">Quelle: </w:t>
      </w:r>
      <w:r>
        <w:t>https://mcp.opencaselaw.ch/entscheid/ge_gerichte_ATAS_755_2025</w:t>
      </w:r>
    </w:p>
    <w:p>
      <w:r>
        <w:t>FR: GE_GERICHTE ATAS/755/2025 du 9 octobre 2025</w:t>
      </w:r>
    </w:p>
    <w:p>
      <w:r>
        <w:t>IT: GE_GERICHTE ATAS/755/2025 del 9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1.3</w:t>
      </w:r>
    </w:p>
    <w:p>
      <w:r>
        <w:t>Le litige porte sur le droit de la recourante à des prestations d’invalidité.</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w:t>
      </w:r>
    </w:p>
    <w:p>
      <w:r>
        <w:t>A/550/2025 - 8/16 -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2024, dès lors que le délai d’attente d’une année a débuté le 1er février 2023 et que la demande de prestations a été déposée en juillet 2023 (cf. art. 28 al. 1 let. b et 29 al. 1 LAI), de sorte que les dispositions légales applicables seront citées dans leur nouvelle teneur, en vigueur dès le 1er janvier 2022.</w:t>
      </w:r>
    </w:p>
    <w:p>
      <w:r>
        <w:rPr>
          <w:b/>
        </w:rPr>
        <w:t>E. 2.2</w:t>
      </w:r>
    </w:p>
    <w:p>
      <w:r>
        <w:t>L’art. 28b LAI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 L'invalidité est une notion économique et non médicale, où sont prises en compte les répercussions de l'atteinte à la santé sur la capacité de gain (arrêt du Tribunal fédéral I 15/06 du 21 décembre 2006 consid. 2.2).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2.3</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w:t>
      </w:r>
    </w:p>
    <w:p>
      <w:r>
        <w:t>A/550/2025 - 9/16 -</w:t>
      </w:r>
    </w:p>
    <w:p>
      <w:r>
        <w:rPr>
          <w:b/>
        </w:rPr>
        <w:t>E. 2.4.1</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w:t>
      </w:r>
    </w:p>
    <w:p>
      <w:r>
        <w:rPr>
          <w:b/>
        </w:rPr>
        <w:t>E. 2.4.2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122 V 157 consid. 1c).</w:t>
      </w:r>
    </w:p>
    <w:p>
      <w:r>
        <w:rPr>
          <w:b/>
        </w:rPr>
        <w:t>E. 2.4.3</w:t>
      </w:r>
    </w:p>
    <w:p>
      <w:r>
        <w:t>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t>A/550/2025 - 10/16 -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w:t>
      </w:r>
    </w:p>
    <w:p>
      <w:r>
        <w:t>A/550/2025 - 11/16 -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En l’espèce, il convient d’examiner si la décision de l’intimé quant à la capacité de travail de la recourante est conforme aux principes qui précèdent.</w:t>
      </w:r>
    </w:p>
    <w:p>
      <w:r>
        <w:rPr>
          <w:b/>
        </w:rPr>
        <w:t>E. 4.1</w:t>
      </w:r>
    </w:p>
    <w:p>
      <w:r>
        <w:t>Il n'est pas contesté qu'en raison de ses atteintes à la santé, la recourante présente depuis le 1er février 2023 une incapacité de travail totale dans son activité habituelle. L'intimé, en se fondant sur les conclusions du SMR datées des 23 avril et 11 novembre 2024, a retenu dans sa décision litigieuse que la recourante présentait, à compter du 1er février 2023, une capacité de travail entière dans une activité adaptée, ce que l’intéressée conteste. La chambre de céans relèvera qu’aucun des rapports précités du SMR ne repose sur des observations cliniques auxquelles un médecin du SMR aurait personnellement procédé, mais sur une appréciation fondée exclusivement sur une analyse des documents médicaux versés au dossier. Le résultat de cette appréciation - soit l'existence d'une capacité de travail entière dans une activité adaptée dès le 1er février 2023 - n'est toutefois corroboré par aucune pièce médicale versée au dossier antérieurement à la décision litigieuse. En effet, aucun médecin ayant examiné la recourante - que ce soit le Dr C______ ou le Dr D______ – n’a retenu que l’intéressée présentait une capacité résiduelle entière dans une activité adaptée depuis le 1er février 2023. Par conséquent, en procédant de la sorte, le SMR a posé de nouvelles conclusions, alors qu'il doit se limiter à apprécier celles déjà existantes (arrêt du Tribunal fédéral 9C_581/2007 du 14 juillet 2008 consid. 3.2 et les références). Par ailleurs, la chambre de céans ne saurait se fonder, sans autre instruction, sur le rapport du Dr C______ du 27 janvier 2025, faisant notamment état d’une capacité de travail théorique de 100% dans une activité adaptée, dès lors que ce rapport a été établi postérieurement à la décision litigieuse et que ce médecin ne précise pas à quand remonte son appréciation. Force est ainsi de constater qu’aucun rapport versé au dossier ne permet de confirmer les conclusions du SMR selon lesquelles la recourante présentait, dès le</w:t>
      </w:r>
    </w:p>
    <w:p>
      <w:r>
        <w:t>A/550/2025 - 12/16 - 1er février 2023, une pleine capacité de travail dans une activité adaptée, sans baisse de rendement. En l'absence d'une analyse probante de la situation médicale de la recourante, l'intimé ne pouvait ainsi se fonder sur les conclusions du SMR pour rendre sa décision de refus de prestations. Dans ces conditions, en l'absence d'une appréciation suffisamment convaincante et circonstanciée permettant de déterminer la capacité de travail résiduelle de la recourante à compter du 1er février 2023 au regard de l’ensemble de ses atteintes, la chambre de céans n'est pas en mesure d'apprécier de manière adéquate sa situation médicale. Il se justifie par conséquent de renvoyer la cause à l’intimé pour qu'il procède à une instruction complémentaire, sous la forme d'une expertise indépendante, au sens de l'art. 44 LPGA. Un renvoi à l'administration se justifie, en l'occurrence, vu l'absence d’une expertise mise en œuvre par l'intimé.</w:t>
      </w:r>
    </w:p>
    <w:p>
      <w:r>
        <w:rPr>
          <w:b/>
        </w:rPr>
        <w:t>E. 4.2</w:t>
      </w:r>
    </w:p>
    <w:p>
      <w:r>
        <w:t>Il y a encore lieu d’examiner si c’est à juste titre que l’intimé a retenu un statut mixte avec 25% consacrés à la part professionnelle.</w:t>
      </w:r>
    </w:p>
    <w:p>
      <w:r>
        <w:rPr>
          <w:b/>
        </w:rPr>
        <w:t>E. 4.2.1</w:t>
      </w:r>
    </w:p>
    <w:p>
      <w:r>
        <w:t>Selon l'art. 28a al. 1 1re phr. LAI, l’évaluation du taux d’invalidité des assurés exerçant une activité lucrative est régie par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À teneur de l'art. 28a al. 2 LAI, dans sa teneur en vigueur dès le 1er janvier 2022,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Selon l’art. 28a al. 3 LAI, dans sa teneur en vigueur dès le 1er janvier 2022,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Selon l’art. 24septies RAI, en vigueur depuis le 1er janvier 2022, le statut d’un assuré est déterminé en fonction de la situation professionnelle dans laquelle il se trouverait s’il n’était pas atteint dans sa santé (al. 1). Selon l’al. 2 de l’art. 24septies RAI, l’assuré est réputé :</w:t>
      </w:r>
    </w:p>
    <w:p>
      <w:r>
        <w:t>A/550/2025 - 13/16 - - exercer une activité lucrative au sens de l’art. 28a al. 1 LAI dès lors qu’en bonne santé, il exercerait une activité lucrative à un taux d’occupation de 100% ou plus (let. a) ; - ne pas exercer d’activité lucrative au sens de l’art. 28a al. 2 LAI dès lors qu’en bonne santé, il n’exercerait pas d’activité lucrative (let. b) ; - exercer une activité lucrative à temps partiel au sens de l’art. 28a al. 3 LAI dès lors qu’en bonne santé, il exercerait une activité lucrative à un taux d’occupation de moins de 100% (let. c).</w:t>
      </w:r>
    </w:p>
    <w:p>
      <w:r>
        <w:rPr>
          <w:b/>
        </w:rPr>
        <w:t>E. 4.2.2</w:t>
      </w:r>
    </w:p>
    <w:p>
      <w:r>
        <w:t>Tant lors de l'examen initial du droit à la rente qu'à l'occasion d'une révision de celle-ci, il faut examiner quelle méthode d'évaluation de l'invalidité il convient d'appliquer (art. 28a LAI, en corrélation avec les art. 25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 référence)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4.2.3</w:t>
      </w:r>
    </w:p>
    <w:p>
      <w:r>
        <w:t>En l'occurrence, l’intimé a considéré que, sans atteinte à la santé, la recourante, née en 1978, exercerait une activité lucrative à un taux de 25%. Dans sa note relative au choix de la méthode d'évaluation de l'invalidité datée</w:t>
      </w:r>
    </w:p>
    <w:p>
      <w:r>
        <w:t>A/550/2025 - 14/16 - du 27 mars 2024, l’intimé a justifié ce pourcentage par le fait qu’il correspondait au taux d'occupation contractuel de la recourante avant la survenance de son incapacité de travail. Ce faisant, force est de constater que l’intimé n'a manifestement pas pris en considération l'ensemble des éléments déterminants pour répondre à la question de savoir ce que la recourante aurait fait sans atteinte à la santé. L’intimé ne s’est en effet nullement prononcé sur les éléments jurisprudentiels pertinents tels que notamment l’âge de l’intéressée, sa situation financière, l’éducation des enfants, l’évolution de sa situation familiale, lesquels sont pourtant nécessaires pour déterminer quelle activité la recourante exercerait et à quel taux, dans des circonstances semblables, mais en l'absence d'atteinte à la santé. À cet égard, il y a lieu de relever notamment que si la recourante a certes travaillé en moyenne à 25% de décembre 2020 à octobre 2021 - alors qu’elle partageait encore le domicile familial avec son époux -, sa situation financière s’est toutefois manifestement péjorée suite à leur séparation en juin 2022, ce que l’intimé n’a nullement pris considération. Or, on rappellera que, contrairement à ce qu’a retenu l’intimé, le seul fait qu'avant d'être atteinte dans sa santé, une personne s'occupait dans une grande mesure du ménage, ne permet pas de conclure, sans effectuer un examen complet de l’ensemble des circonstances, qu'elle aurait continué de le faire (cf. p. ex. arrêt du Tribunal fédéral 9C_639/2021 du 22 mars 2022 consid. 4). En l’absence d’une évaluation établie à satisfaction de droit, le statut mixte avec 25% de part professionnelle, tel que retenu par l’intimé, ne saurait être confirmé par la chambre de céans. Pour ce motif également, la décision litigieuse doit être annulée et la cause renvoyée à l'intimé pour instruction complémentaire sur le statut de la recourante. À l'issue de l’instruction, l'intimé rendra, dans les meilleurs délais, une nouvelle décision quant aux droits de la recourante à des prestations d'invalidité. Vu l’issue du litige, il sera renoncé aux mesures d’instruction proposées par la recourante.</w:t>
      </w:r>
    </w:p>
    <w:p>
      <w:r>
        <w:rPr>
          <w:b/>
        </w:rPr>
        <w:t>E. 5</w:t>
      </w:r>
    </w:p>
    <w:p>
      <w:r>
        <w:t>Le recours sera en conséquence partiellement admis, la décision de l’intimé du 10 janvier 2025 annulée et la cause renvoyée à l’intimé pour instruction complémentaire au sens des considérants, et nouvelle décision.</w:t>
      </w:r>
    </w:p>
    <w:p>
      <w:r>
        <w:rPr>
          <w:b/>
        </w:rPr>
        <w:t>E. 5.1</w:t>
      </w:r>
    </w:p>
    <w:p>
      <w:r>
        <w:t>La recourante, assistée par un mandataire professionnellement qualifié et obtenant partiellement gain de cause, a ainsi droit à une indemnité à titre de participation à ses frais et dépens, que la chambre de céans fixera à CHF 3’000.- (art. 61 let. g LPGA ; art. 89H al. 3 LPA ; art. 6 du règlement sur les frais, émoluments et indemnités en procédure administrative du 30 juillet 1986 [RFPA ‑ E 5 10.03]).</w:t>
      </w:r>
    </w:p>
    <w:p>
      <w:r>
        <w:t>A/550/2025 - 15/16 -</w:t>
      </w:r>
    </w:p>
    <w:p>
      <w:r>
        <w:rPr>
          <w:b/>
        </w:rPr>
        <w:t>E. 5.2</w:t>
      </w:r>
    </w:p>
    <w:p>
      <w:r>
        <w:t>Étant donné que, depuis le 1er juillet 2006, la procédure n'est plus gratuite (art. 69 al. 1bis LAI), au vu du sort du recours, il y a lieu de condamner l'intimé au paiement d'un émolument de CHF 200.-.</w:t>
      </w:r>
    </w:p>
    <w:p>
      <w:r>
        <w:t>A/550/2025 - 16/16 -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